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3E679F57" w14:textId="77777777" w:rsidTr="00491976">
        <w:trPr>
          <w:gridAfter w:val="1"/>
          <w:wAfter w:w="2551" w:type="dxa"/>
          <w:cantSplit/>
          <w:trHeight w:val="569"/>
        </w:trPr>
        <w:tc>
          <w:tcPr>
            <w:tcW w:w="4928" w:type="dxa"/>
            <w:shd w:val="clear" w:color="auto" w:fill="BFBFBF"/>
            <w:vAlign w:val="center"/>
          </w:tcPr>
          <w:p w14:paraId="3E679F55"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E679FED" wp14:editId="3E679FEE">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3E679F56" w14:textId="77777777" w:rsidR="00491976" w:rsidRPr="009E2B84" w:rsidRDefault="00491976" w:rsidP="00AC4A99">
            <w:pPr>
              <w:jc w:val="center"/>
              <w:rPr>
                <w:b/>
              </w:rPr>
            </w:pPr>
            <w:r w:rsidRPr="009E2B84">
              <w:rPr>
                <w:b/>
              </w:rPr>
              <w:t>ON</w:t>
            </w:r>
          </w:p>
        </w:tc>
      </w:tr>
      <w:tr w:rsidR="00491976" w:rsidRPr="009E2B84" w14:paraId="3E679F5A" w14:textId="77777777" w:rsidTr="00491976">
        <w:trPr>
          <w:gridAfter w:val="1"/>
          <w:wAfter w:w="2551" w:type="dxa"/>
          <w:cantSplit/>
          <w:trHeight w:val="654"/>
        </w:trPr>
        <w:tc>
          <w:tcPr>
            <w:tcW w:w="4928" w:type="dxa"/>
            <w:tcBorders>
              <w:bottom w:val="nil"/>
            </w:tcBorders>
            <w:vAlign w:val="center"/>
          </w:tcPr>
          <w:p w14:paraId="3E679F58" w14:textId="77777777" w:rsidR="00491976" w:rsidRPr="009E2B84" w:rsidRDefault="00491976" w:rsidP="006704C2">
            <w:pPr>
              <w:ind w:hanging="113"/>
              <w:jc w:val="center"/>
              <w:rPr>
                <w:b/>
                <w:sz w:val="24"/>
                <w:szCs w:val="24"/>
              </w:rPr>
            </w:pPr>
            <w:r w:rsidRPr="009E2B84">
              <w:rPr>
                <w:b/>
                <w:sz w:val="24"/>
                <w:szCs w:val="24"/>
              </w:rPr>
              <w:t>CABINET</w:t>
            </w:r>
          </w:p>
        </w:tc>
        <w:tc>
          <w:tcPr>
            <w:tcW w:w="2410" w:type="dxa"/>
            <w:tcBorders>
              <w:bottom w:val="nil"/>
            </w:tcBorders>
            <w:vAlign w:val="center"/>
          </w:tcPr>
          <w:p w14:paraId="3E679F59" w14:textId="77777777" w:rsidR="00491976" w:rsidRPr="00394843" w:rsidRDefault="00394843" w:rsidP="009F6ADC">
            <w:pPr>
              <w:jc w:val="center"/>
              <w:rPr>
                <w:b/>
              </w:rPr>
            </w:pPr>
            <w:r w:rsidRPr="00394843">
              <w:t>10 July 2019</w:t>
            </w:r>
          </w:p>
        </w:tc>
      </w:tr>
      <w:tr w:rsidR="00491976" w:rsidRPr="009E2B84" w14:paraId="3E679F5C" w14:textId="77777777" w:rsidTr="00491976">
        <w:trPr>
          <w:gridAfter w:val="1"/>
          <w:wAfter w:w="2551" w:type="dxa"/>
          <w:cantSplit/>
          <w:trHeight w:val="560"/>
        </w:trPr>
        <w:tc>
          <w:tcPr>
            <w:tcW w:w="7338" w:type="dxa"/>
            <w:gridSpan w:val="2"/>
            <w:tcBorders>
              <w:left w:val="nil"/>
              <w:right w:val="nil"/>
            </w:tcBorders>
          </w:tcPr>
          <w:p w14:paraId="3E679F5B" w14:textId="77777777" w:rsidR="00491976" w:rsidRPr="009E2B84" w:rsidRDefault="00491976" w:rsidP="00407A09">
            <w:pPr>
              <w:jc w:val="right"/>
              <w:rPr>
                <w:sz w:val="8"/>
              </w:rPr>
            </w:pPr>
          </w:p>
        </w:tc>
      </w:tr>
      <w:tr w:rsidR="00491976" w:rsidRPr="009E2B84" w14:paraId="3E679F60" w14:textId="77777777" w:rsidTr="00491976">
        <w:trPr>
          <w:cantSplit/>
        </w:trPr>
        <w:tc>
          <w:tcPr>
            <w:tcW w:w="4928" w:type="dxa"/>
            <w:shd w:val="clear" w:color="auto" w:fill="BFBFBF"/>
            <w:vAlign w:val="center"/>
          </w:tcPr>
          <w:p w14:paraId="3E679F5D"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3E679F5E"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3E679F5F" w14:textId="77777777" w:rsidR="00491976" w:rsidRPr="009E2B84" w:rsidRDefault="00E51F90" w:rsidP="00AC4A99">
            <w:pPr>
              <w:jc w:val="center"/>
              <w:rPr>
                <w:b/>
              </w:rPr>
            </w:pPr>
            <w:r>
              <w:rPr>
                <w:b/>
              </w:rPr>
              <w:t>REP</w:t>
            </w:r>
            <w:r w:rsidR="00491976">
              <w:rPr>
                <w:b/>
              </w:rPr>
              <w:t>ORT OF</w:t>
            </w:r>
          </w:p>
        </w:tc>
      </w:tr>
      <w:tr w:rsidR="00491976" w:rsidRPr="009E2B84" w14:paraId="3E679F66" w14:textId="77777777" w:rsidTr="00491976">
        <w:trPr>
          <w:cantSplit/>
          <w:trHeight w:val="667"/>
        </w:trPr>
        <w:tc>
          <w:tcPr>
            <w:tcW w:w="4928" w:type="dxa"/>
            <w:vAlign w:val="center"/>
          </w:tcPr>
          <w:p w14:paraId="3E679F61" w14:textId="77777777" w:rsidR="00491976" w:rsidRPr="00394843" w:rsidRDefault="00491976" w:rsidP="00AC4A99">
            <w:pPr>
              <w:rPr>
                <w:b/>
              </w:rPr>
            </w:pPr>
          </w:p>
          <w:p w14:paraId="3E679F62" w14:textId="77777777" w:rsidR="00491976" w:rsidRPr="00394843" w:rsidRDefault="00394843" w:rsidP="00AC4A99">
            <w:pPr>
              <w:rPr>
                <w:i/>
              </w:rPr>
            </w:pPr>
            <w:r w:rsidRPr="00394843">
              <w:t>Enterprise Zone Business Rate Growth Agreement</w:t>
            </w:r>
          </w:p>
          <w:p w14:paraId="3E679F63" w14:textId="77777777" w:rsidR="00491976" w:rsidRPr="00394843" w:rsidRDefault="00491976" w:rsidP="00AC4A99">
            <w:pPr>
              <w:rPr>
                <w:b/>
              </w:rPr>
            </w:pPr>
          </w:p>
        </w:tc>
        <w:tc>
          <w:tcPr>
            <w:tcW w:w="2410" w:type="dxa"/>
            <w:vAlign w:val="center"/>
          </w:tcPr>
          <w:p w14:paraId="3E679F64" w14:textId="77777777" w:rsidR="00491976" w:rsidRPr="00394843" w:rsidRDefault="00394843" w:rsidP="00394843">
            <w:pPr>
              <w:jc w:val="center"/>
              <w:rPr>
                <w:b/>
              </w:rPr>
            </w:pPr>
            <w:r w:rsidRPr="00394843">
              <w:t>Finance, Property and Assets</w:t>
            </w:r>
          </w:p>
        </w:tc>
        <w:tc>
          <w:tcPr>
            <w:tcW w:w="2551" w:type="dxa"/>
            <w:vAlign w:val="center"/>
          </w:tcPr>
          <w:p w14:paraId="3E679F65" w14:textId="77777777" w:rsidR="00491976" w:rsidRPr="00394843" w:rsidRDefault="00394843" w:rsidP="00FB6EAA">
            <w:pPr>
              <w:jc w:val="center"/>
            </w:pPr>
            <w:r w:rsidRPr="00394843">
              <w:t xml:space="preserve">Deputy </w:t>
            </w:r>
            <w:r w:rsidR="00FB6EAA">
              <w:t>S</w:t>
            </w:r>
            <w:r w:rsidR="009F6ADC">
              <w:t xml:space="preserve">ection </w:t>
            </w:r>
            <w:r w:rsidRPr="00394843">
              <w:t>151 Officer</w:t>
            </w:r>
          </w:p>
        </w:tc>
      </w:tr>
    </w:tbl>
    <w:p w14:paraId="3E679F67"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3E679F69" w14:textId="77777777" w:rsidTr="00E50A9C">
        <w:tc>
          <w:tcPr>
            <w:tcW w:w="9918" w:type="dxa"/>
            <w:gridSpan w:val="2"/>
            <w:tcBorders>
              <w:top w:val="nil"/>
              <w:left w:val="nil"/>
              <w:right w:val="nil"/>
            </w:tcBorders>
            <w:shd w:val="clear" w:color="auto" w:fill="auto"/>
          </w:tcPr>
          <w:p w14:paraId="3E679F68" w14:textId="77777777" w:rsidR="002F5C5E" w:rsidRPr="009C1143" w:rsidRDefault="002F5C5E" w:rsidP="00AC4A99">
            <w:pPr>
              <w:tabs>
                <w:tab w:val="left" w:pos="1055"/>
              </w:tabs>
              <w:rPr>
                <w:i/>
                <w:color w:val="2E74B5"/>
                <w:szCs w:val="22"/>
              </w:rPr>
            </w:pPr>
          </w:p>
        </w:tc>
      </w:tr>
      <w:tr w:rsidR="002F5C5E" w:rsidRPr="009C1143" w14:paraId="3E679F7E" w14:textId="77777777" w:rsidTr="00AC4A99">
        <w:tc>
          <w:tcPr>
            <w:tcW w:w="6652" w:type="dxa"/>
            <w:shd w:val="clear" w:color="auto" w:fill="auto"/>
          </w:tcPr>
          <w:p w14:paraId="3E679F6A"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3E679F6B" w14:textId="77777777" w:rsidR="002F5C5E" w:rsidRPr="009C1143" w:rsidRDefault="002F5C5E" w:rsidP="00AC4A99">
            <w:pPr>
              <w:rPr>
                <w:szCs w:val="22"/>
              </w:rPr>
            </w:pPr>
          </w:p>
          <w:p w14:paraId="3E679F6C"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3E679F6D" w14:textId="77777777" w:rsidR="002F5C5E" w:rsidRDefault="002F5C5E" w:rsidP="00AC4A99">
            <w:pPr>
              <w:rPr>
                <w:szCs w:val="22"/>
              </w:rPr>
            </w:pPr>
          </w:p>
          <w:p w14:paraId="3E679F6E" w14:textId="77777777" w:rsidR="00594D09" w:rsidRPr="009C1143" w:rsidRDefault="00594D09" w:rsidP="00AC4A99">
            <w:pPr>
              <w:rPr>
                <w:szCs w:val="22"/>
              </w:rPr>
            </w:pPr>
          </w:p>
          <w:p w14:paraId="3E679F6F"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3E679F70" w14:textId="77777777" w:rsidR="002F5C5E" w:rsidRPr="00DE5E12" w:rsidRDefault="003C36EB" w:rsidP="00AC4A99">
            <w:pPr>
              <w:rPr>
                <w:i/>
                <w:color w:val="0070C0"/>
                <w:szCs w:val="22"/>
              </w:rPr>
            </w:pPr>
            <w:r w:rsidRPr="00DE5E12">
              <w:rPr>
                <w:i/>
                <w:color w:val="0070C0"/>
                <w:szCs w:val="22"/>
              </w:rPr>
              <w:t>.</w:t>
            </w:r>
          </w:p>
          <w:p w14:paraId="3E679F71" w14:textId="77777777" w:rsidR="00E50A9C" w:rsidRDefault="00E50A9C" w:rsidP="00AC4A99">
            <w:pPr>
              <w:rPr>
                <w:szCs w:val="22"/>
              </w:rPr>
            </w:pPr>
            <w:r>
              <w:rPr>
                <w:szCs w:val="22"/>
              </w:rPr>
              <w:t>Is this report confidential?</w:t>
            </w:r>
          </w:p>
          <w:p w14:paraId="3E679F72" w14:textId="77777777" w:rsidR="00BD2AFE" w:rsidRPr="009C1143" w:rsidRDefault="00BD2AFE" w:rsidP="00394843">
            <w:pPr>
              <w:rPr>
                <w:szCs w:val="22"/>
              </w:rPr>
            </w:pPr>
          </w:p>
        </w:tc>
        <w:tc>
          <w:tcPr>
            <w:tcW w:w="3266" w:type="dxa"/>
            <w:shd w:val="clear" w:color="auto" w:fill="auto"/>
          </w:tcPr>
          <w:p w14:paraId="3E679F73" w14:textId="77777777" w:rsidR="002F5C5E" w:rsidRPr="009C1143" w:rsidRDefault="002F5C5E" w:rsidP="00394843">
            <w:pPr>
              <w:rPr>
                <w:i/>
                <w:color w:val="0070C0"/>
                <w:szCs w:val="22"/>
              </w:rPr>
            </w:pPr>
            <w:r w:rsidRPr="00F3057A">
              <w:rPr>
                <w:b/>
                <w:szCs w:val="22"/>
              </w:rPr>
              <w:t xml:space="preserve">Yes   </w:t>
            </w:r>
          </w:p>
          <w:p w14:paraId="3E679F74" w14:textId="77777777" w:rsidR="002F5C5E" w:rsidRPr="009C1143" w:rsidRDefault="002F5C5E" w:rsidP="00AC4A99">
            <w:pPr>
              <w:rPr>
                <w:szCs w:val="22"/>
              </w:rPr>
            </w:pPr>
          </w:p>
          <w:p w14:paraId="3E679F75" w14:textId="77777777" w:rsidR="00394843" w:rsidRDefault="002F5C5E" w:rsidP="00AC4A99">
            <w:pPr>
              <w:rPr>
                <w:b/>
                <w:szCs w:val="22"/>
              </w:rPr>
            </w:pPr>
            <w:r w:rsidRPr="00F3057A">
              <w:rPr>
                <w:b/>
                <w:szCs w:val="22"/>
              </w:rPr>
              <w:t xml:space="preserve">   </w:t>
            </w:r>
          </w:p>
          <w:p w14:paraId="3E679F76" w14:textId="77777777" w:rsidR="002F5C5E" w:rsidRPr="009F6ADC" w:rsidRDefault="002F5C5E" w:rsidP="00AC4A99">
            <w:pPr>
              <w:rPr>
                <w:szCs w:val="22"/>
              </w:rPr>
            </w:pPr>
            <w:r w:rsidRPr="009F6ADC">
              <w:rPr>
                <w:szCs w:val="22"/>
              </w:rPr>
              <w:t>No</w:t>
            </w:r>
          </w:p>
          <w:p w14:paraId="3E679F77" w14:textId="77777777" w:rsidR="002F5C5E" w:rsidRPr="009F6ADC" w:rsidRDefault="002F5C5E" w:rsidP="00AC4A99">
            <w:pPr>
              <w:rPr>
                <w:szCs w:val="22"/>
              </w:rPr>
            </w:pPr>
          </w:p>
          <w:p w14:paraId="3E679F78" w14:textId="77777777" w:rsidR="00394843" w:rsidRPr="009F6ADC" w:rsidRDefault="00394843" w:rsidP="00AC4A99">
            <w:pPr>
              <w:rPr>
                <w:szCs w:val="22"/>
              </w:rPr>
            </w:pPr>
          </w:p>
          <w:p w14:paraId="3E679F79" w14:textId="77777777" w:rsidR="002F5C5E" w:rsidRPr="009F6ADC" w:rsidRDefault="002F5C5E" w:rsidP="00AC4A99">
            <w:pPr>
              <w:rPr>
                <w:szCs w:val="22"/>
              </w:rPr>
            </w:pPr>
            <w:r w:rsidRPr="009F6ADC">
              <w:rPr>
                <w:szCs w:val="22"/>
              </w:rPr>
              <w:t>No</w:t>
            </w:r>
          </w:p>
          <w:p w14:paraId="3E679F7A" w14:textId="77777777" w:rsidR="00E50A9C" w:rsidRPr="009F6ADC" w:rsidRDefault="00E50A9C" w:rsidP="00AC4A99">
            <w:pPr>
              <w:rPr>
                <w:szCs w:val="22"/>
              </w:rPr>
            </w:pPr>
          </w:p>
          <w:p w14:paraId="3E679F7B" w14:textId="77777777" w:rsidR="00E50A9C" w:rsidRPr="009F6ADC" w:rsidRDefault="00E50A9C" w:rsidP="00AC4A99">
            <w:pPr>
              <w:rPr>
                <w:szCs w:val="22"/>
              </w:rPr>
            </w:pPr>
          </w:p>
          <w:p w14:paraId="3E679F7C" w14:textId="77777777" w:rsidR="00E50A9C" w:rsidRPr="009F6ADC" w:rsidRDefault="00E50A9C" w:rsidP="00AC4A99">
            <w:pPr>
              <w:rPr>
                <w:szCs w:val="22"/>
              </w:rPr>
            </w:pPr>
            <w:r w:rsidRPr="009F6ADC">
              <w:rPr>
                <w:szCs w:val="22"/>
              </w:rPr>
              <w:t>No</w:t>
            </w:r>
          </w:p>
          <w:p w14:paraId="3E679F7D" w14:textId="77777777" w:rsidR="00594D09" w:rsidRPr="009C1143" w:rsidRDefault="00594D09" w:rsidP="00394843">
            <w:pPr>
              <w:rPr>
                <w:szCs w:val="22"/>
              </w:rPr>
            </w:pPr>
          </w:p>
        </w:tc>
      </w:tr>
    </w:tbl>
    <w:p w14:paraId="3E679F7F" w14:textId="77777777" w:rsidR="002F5C5E" w:rsidRPr="009C1143" w:rsidRDefault="002F5C5E" w:rsidP="002F5C5E">
      <w:pPr>
        <w:rPr>
          <w:color w:val="000000"/>
          <w:szCs w:val="22"/>
        </w:rPr>
      </w:pPr>
    </w:p>
    <w:p w14:paraId="3E679F80" w14:textId="77777777" w:rsidR="008C04DA" w:rsidRDefault="002F5C5E" w:rsidP="00594D09">
      <w:pPr>
        <w:keepNext/>
        <w:outlineLvl w:val="0"/>
        <w:rPr>
          <w:b/>
          <w:szCs w:val="22"/>
        </w:rPr>
      </w:pPr>
      <w:r w:rsidRPr="009C1143">
        <w:rPr>
          <w:b/>
          <w:szCs w:val="22"/>
        </w:rPr>
        <w:t xml:space="preserve">PURPOSE OF THE REPORT </w:t>
      </w:r>
    </w:p>
    <w:p w14:paraId="3E679F81" w14:textId="77777777" w:rsidR="007A0801" w:rsidRDefault="007A0801" w:rsidP="00594D09">
      <w:pPr>
        <w:keepNext/>
        <w:outlineLvl w:val="0"/>
        <w:rPr>
          <w:b/>
          <w:szCs w:val="22"/>
        </w:rPr>
      </w:pPr>
    </w:p>
    <w:p w14:paraId="3E679F82" w14:textId="7D7EF322" w:rsidR="002F5C5E" w:rsidRPr="009B1FD6" w:rsidRDefault="00E3555D" w:rsidP="009B1FD6">
      <w:pPr>
        <w:pStyle w:val="ListParagraph"/>
        <w:keepNext/>
        <w:numPr>
          <w:ilvl w:val="0"/>
          <w:numId w:val="12"/>
        </w:numPr>
        <w:outlineLvl w:val="0"/>
        <w:rPr>
          <w:rFonts w:ascii="Arial" w:hAnsi="Arial" w:cs="Arial"/>
          <w:color w:val="2E74B5" w:themeColor="accent1" w:themeShade="BF"/>
        </w:rPr>
      </w:pPr>
      <w:r w:rsidRPr="009B1FD6">
        <w:rPr>
          <w:rFonts w:ascii="Arial" w:hAnsi="Arial" w:cs="Arial"/>
        </w:rPr>
        <w:t xml:space="preserve">To </w:t>
      </w:r>
      <w:r w:rsidR="003C3CF2" w:rsidRPr="009B1FD6">
        <w:rPr>
          <w:rFonts w:ascii="Arial" w:hAnsi="Arial" w:cs="Arial"/>
        </w:rPr>
        <w:t xml:space="preserve">request approval to </w:t>
      </w:r>
      <w:r w:rsidRPr="009B1FD6">
        <w:rPr>
          <w:rFonts w:ascii="Arial" w:hAnsi="Arial" w:cs="Arial"/>
        </w:rPr>
        <w:t>enter into an agreement with Lancashire County Council</w:t>
      </w:r>
      <w:r w:rsidR="003C3CF2" w:rsidRPr="009B1FD6">
        <w:rPr>
          <w:rFonts w:ascii="Arial" w:hAnsi="Arial" w:cs="Arial"/>
        </w:rPr>
        <w:t xml:space="preserve"> in relation to the payment over of business rates growth from the Enterprise Zone. </w:t>
      </w:r>
    </w:p>
    <w:p w14:paraId="3E679F83" w14:textId="77777777" w:rsidR="002F5C5E" w:rsidRPr="009C1143" w:rsidRDefault="002F5C5E" w:rsidP="002F5C5E">
      <w:pPr>
        <w:rPr>
          <w:szCs w:val="22"/>
        </w:rPr>
      </w:pPr>
    </w:p>
    <w:p w14:paraId="3E679F84" w14:textId="77777777" w:rsidR="002F5C5E" w:rsidRDefault="00491976" w:rsidP="009B1FD6">
      <w:pPr>
        <w:keepNext/>
        <w:outlineLvl w:val="0"/>
        <w:rPr>
          <w:b/>
          <w:szCs w:val="22"/>
        </w:rPr>
      </w:pPr>
      <w:r>
        <w:rPr>
          <w:b/>
          <w:szCs w:val="22"/>
        </w:rPr>
        <w:t>PORTFOLIO</w:t>
      </w:r>
      <w:r w:rsidR="00A162DE">
        <w:rPr>
          <w:b/>
          <w:szCs w:val="22"/>
        </w:rPr>
        <w:t xml:space="preserve"> </w:t>
      </w:r>
      <w:r w:rsidR="002F5C5E" w:rsidRPr="009C1143">
        <w:rPr>
          <w:b/>
          <w:szCs w:val="22"/>
        </w:rPr>
        <w:t>RECOMMENDATIONS</w:t>
      </w:r>
    </w:p>
    <w:p w14:paraId="3E679F85" w14:textId="77777777" w:rsidR="007A0801" w:rsidRDefault="007A0801" w:rsidP="007A0801">
      <w:pPr>
        <w:keepNext/>
        <w:ind w:left="567"/>
        <w:outlineLvl w:val="0"/>
        <w:rPr>
          <w:b/>
          <w:szCs w:val="22"/>
        </w:rPr>
      </w:pPr>
    </w:p>
    <w:p w14:paraId="3E679F86" w14:textId="56EE67CE" w:rsidR="002F5C5E" w:rsidRPr="009B1FD6" w:rsidRDefault="005E6533" w:rsidP="009B1FD6">
      <w:pPr>
        <w:pStyle w:val="ListParagraph"/>
        <w:keepNext/>
        <w:numPr>
          <w:ilvl w:val="0"/>
          <w:numId w:val="12"/>
        </w:numPr>
        <w:outlineLvl w:val="0"/>
        <w:rPr>
          <w:rFonts w:ascii="Arial" w:hAnsi="Arial" w:cs="Arial"/>
          <w:b/>
        </w:rPr>
      </w:pPr>
      <w:r w:rsidRPr="009B1FD6">
        <w:rPr>
          <w:rFonts w:ascii="Arial" w:hAnsi="Arial" w:cs="Arial"/>
        </w:rPr>
        <w:t xml:space="preserve">Cabinet approve the </w:t>
      </w:r>
      <w:r w:rsidR="00E3555D" w:rsidRPr="009B1FD6">
        <w:rPr>
          <w:rFonts w:ascii="Arial" w:hAnsi="Arial" w:cs="Arial"/>
        </w:rPr>
        <w:t xml:space="preserve">proposed </w:t>
      </w:r>
      <w:r w:rsidR="00924CB7" w:rsidRPr="009B1FD6">
        <w:rPr>
          <w:rFonts w:ascii="Arial" w:hAnsi="Arial" w:cs="Arial"/>
        </w:rPr>
        <w:t xml:space="preserve">legal </w:t>
      </w:r>
      <w:r w:rsidRPr="009B1FD6">
        <w:rPr>
          <w:rFonts w:ascii="Arial" w:hAnsi="Arial" w:cs="Arial"/>
        </w:rPr>
        <w:t xml:space="preserve">agreement between South Ribble Borough Council and Lancashire County Council (as accountable body for Lancashire Enterprise Partnership Ltd) </w:t>
      </w:r>
      <w:r w:rsidR="00E3555D" w:rsidRPr="009B1FD6">
        <w:rPr>
          <w:rFonts w:ascii="Arial" w:hAnsi="Arial" w:cs="Arial"/>
        </w:rPr>
        <w:t xml:space="preserve">which will </w:t>
      </w:r>
      <w:r w:rsidR="00924CB7" w:rsidRPr="009B1FD6">
        <w:rPr>
          <w:rFonts w:ascii="Arial" w:hAnsi="Arial" w:cs="Arial"/>
        </w:rPr>
        <w:t>formalise t</w:t>
      </w:r>
      <w:r w:rsidR="00E3555D" w:rsidRPr="009B1FD6">
        <w:rPr>
          <w:rFonts w:ascii="Arial" w:hAnsi="Arial" w:cs="Arial"/>
        </w:rPr>
        <w:t xml:space="preserve">he payment of growth in business rates in relation to Samlesbury </w:t>
      </w:r>
      <w:r w:rsidR="007251C6" w:rsidRPr="009B1FD6">
        <w:rPr>
          <w:rFonts w:ascii="Arial" w:hAnsi="Arial" w:cs="Arial"/>
        </w:rPr>
        <w:t xml:space="preserve">Aerospace </w:t>
      </w:r>
      <w:r w:rsidR="00E3555D" w:rsidRPr="009B1FD6">
        <w:rPr>
          <w:rFonts w:ascii="Arial" w:hAnsi="Arial" w:cs="Arial"/>
        </w:rPr>
        <w:t>Enterprise Zone to the L</w:t>
      </w:r>
      <w:r w:rsidR="007251C6" w:rsidRPr="009B1FD6">
        <w:rPr>
          <w:rFonts w:ascii="Arial" w:hAnsi="Arial" w:cs="Arial"/>
        </w:rPr>
        <w:t xml:space="preserve">ancashire </w:t>
      </w:r>
      <w:r w:rsidR="00E3555D" w:rsidRPr="009B1FD6">
        <w:rPr>
          <w:rFonts w:ascii="Arial" w:hAnsi="Arial" w:cs="Arial"/>
        </w:rPr>
        <w:t>E</w:t>
      </w:r>
      <w:r w:rsidR="007251C6" w:rsidRPr="009B1FD6">
        <w:rPr>
          <w:rFonts w:ascii="Arial" w:hAnsi="Arial" w:cs="Arial"/>
        </w:rPr>
        <w:t xml:space="preserve">nterprise </w:t>
      </w:r>
      <w:r w:rsidR="00E3555D" w:rsidRPr="009B1FD6">
        <w:rPr>
          <w:rFonts w:ascii="Arial" w:hAnsi="Arial" w:cs="Arial"/>
        </w:rPr>
        <w:t>P</w:t>
      </w:r>
      <w:r w:rsidR="007251C6" w:rsidRPr="009B1FD6">
        <w:rPr>
          <w:rFonts w:ascii="Arial" w:hAnsi="Arial" w:cs="Arial"/>
        </w:rPr>
        <w:t xml:space="preserve">artnership. </w:t>
      </w:r>
      <w:r w:rsidRPr="009B1FD6">
        <w:rPr>
          <w:rFonts w:ascii="Arial" w:hAnsi="Arial" w:cs="Arial"/>
        </w:rPr>
        <w:t xml:space="preserve"> </w:t>
      </w:r>
    </w:p>
    <w:p w14:paraId="3E679F87" w14:textId="77777777" w:rsidR="002F5C5E" w:rsidRPr="00970C70" w:rsidRDefault="002F5C5E" w:rsidP="002F5C5E">
      <w:pPr>
        <w:rPr>
          <w:i/>
          <w:color w:val="2E74B5" w:themeColor="accent1" w:themeShade="BF"/>
          <w:szCs w:val="22"/>
        </w:rPr>
      </w:pPr>
    </w:p>
    <w:p w14:paraId="3E679F88" w14:textId="77777777" w:rsidR="00BD2AFE" w:rsidRPr="00BE6EFC" w:rsidRDefault="00CC4337" w:rsidP="009B1FD6">
      <w:pPr>
        <w:rPr>
          <w:b/>
          <w:color w:val="000000"/>
          <w:szCs w:val="22"/>
        </w:rPr>
      </w:pPr>
      <w:r w:rsidRPr="00BE6EFC">
        <w:rPr>
          <w:b/>
          <w:color w:val="000000"/>
          <w:szCs w:val="22"/>
        </w:rPr>
        <w:t>REASONS FOR THE DECISION</w:t>
      </w:r>
    </w:p>
    <w:p w14:paraId="3E679F89" w14:textId="77777777" w:rsidR="007A0801" w:rsidRPr="009B1FD6" w:rsidRDefault="007A0801" w:rsidP="007A0801">
      <w:pPr>
        <w:ind w:left="567"/>
        <w:rPr>
          <w:rFonts w:cs="Arial"/>
          <w:b/>
          <w:i/>
          <w:color w:val="2E74B5" w:themeColor="accent1" w:themeShade="BF"/>
          <w:szCs w:val="22"/>
        </w:rPr>
      </w:pPr>
    </w:p>
    <w:p w14:paraId="3E679F8A" w14:textId="48DC985D" w:rsidR="00CC4337" w:rsidRPr="009B1FD6" w:rsidRDefault="00BE6EFC" w:rsidP="009B1FD6">
      <w:pPr>
        <w:pStyle w:val="ListParagraph"/>
        <w:numPr>
          <w:ilvl w:val="0"/>
          <w:numId w:val="12"/>
        </w:numPr>
        <w:rPr>
          <w:rFonts w:ascii="Arial" w:hAnsi="Arial" w:cs="Arial"/>
          <w:i/>
        </w:rPr>
      </w:pPr>
      <w:r w:rsidRPr="009B1FD6">
        <w:rPr>
          <w:rFonts w:ascii="Arial" w:hAnsi="Arial" w:cs="Arial"/>
        </w:rPr>
        <w:t>This is a key decision as the business rates income to be paid over is greater than £100,000 and therefore requires Cabinet approval. There are no budget implications as this incom</w:t>
      </w:r>
      <w:r w:rsidR="009B1FD6" w:rsidRPr="009B1FD6">
        <w:rPr>
          <w:rFonts w:ascii="Arial" w:hAnsi="Arial" w:cs="Arial"/>
        </w:rPr>
        <w:t>e is earmarked for this purpose.</w:t>
      </w:r>
      <w:r w:rsidR="00CC4337" w:rsidRPr="009B1FD6">
        <w:rPr>
          <w:rFonts w:ascii="Arial" w:hAnsi="Arial" w:cs="Arial"/>
          <w:i/>
        </w:rPr>
        <w:tab/>
      </w:r>
    </w:p>
    <w:p w14:paraId="3E679F8B" w14:textId="77777777" w:rsidR="002F5C5E" w:rsidRPr="00BE6EFC" w:rsidRDefault="002F5C5E" w:rsidP="002F5C5E">
      <w:pPr>
        <w:rPr>
          <w:szCs w:val="22"/>
        </w:rPr>
      </w:pPr>
    </w:p>
    <w:p w14:paraId="3E679F8C" w14:textId="77777777" w:rsidR="008C04DA" w:rsidRDefault="008C04DA" w:rsidP="009B1FD6">
      <w:pPr>
        <w:keepNext/>
        <w:outlineLvl w:val="0"/>
        <w:rPr>
          <w:b/>
          <w:szCs w:val="22"/>
        </w:rPr>
      </w:pPr>
      <w:r w:rsidRPr="008C04DA">
        <w:rPr>
          <w:b/>
          <w:szCs w:val="22"/>
        </w:rPr>
        <w:t>CORPORATE PRIORITIES</w:t>
      </w:r>
    </w:p>
    <w:p w14:paraId="3E679F8D" w14:textId="77777777" w:rsidR="00911FD5" w:rsidRDefault="00911FD5" w:rsidP="00911FD5">
      <w:pPr>
        <w:keepNext/>
        <w:ind w:left="567"/>
        <w:outlineLvl w:val="0"/>
        <w:rPr>
          <w:b/>
          <w:szCs w:val="22"/>
        </w:rPr>
      </w:pPr>
    </w:p>
    <w:p w14:paraId="3E679F8E" w14:textId="7D104FA9" w:rsidR="008C04DA" w:rsidRPr="009B1FD6" w:rsidRDefault="008C04DA" w:rsidP="009B1FD6">
      <w:pPr>
        <w:pStyle w:val="ListParagraph"/>
        <w:keepNext/>
        <w:numPr>
          <w:ilvl w:val="0"/>
          <w:numId w:val="12"/>
        </w:numPr>
        <w:outlineLvl w:val="0"/>
        <w:rPr>
          <w:rFonts w:ascii="Arial" w:hAnsi="Arial" w:cs="Arial"/>
          <w:i/>
          <w:color w:val="2E74B5"/>
        </w:rPr>
      </w:pPr>
      <w:r w:rsidRPr="009B1FD6">
        <w:rPr>
          <w:rFonts w:ascii="Arial" w:hAnsi="Arial" w:cs="Arial"/>
        </w:rPr>
        <w:t>The report relates to the following corporate priorities</w:t>
      </w:r>
      <w:r w:rsidR="00970C70" w:rsidRPr="009B1FD6">
        <w:rPr>
          <w:rFonts w:ascii="Arial" w:hAnsi="Arial" w:cs="Arial"/>
        </w:rPr>
        <w:t>:</w:t>
      </w:r>
      <w:r w:rsidRPr="009B1FD6">
        <w:rPr>
          <w:rFonts w:ascii="Arial" w:hAnsi="Arial" w:cs="Arial"/>
          <w:b/>
        </w:rPr>
        <w:t xml:space="preserve"> </w:t>
      </w:r>
    </w:p>
    <w:p w14:paraId="3E679F8F"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3E679F92" w14:textId="77777777" w:rsidTr="000E5A3B">
        <w:tc>
          <w:tcPr>
            <w:tcW w:w="4423" w:type="dxa"/>
            <w:shd w:val="clear" w:color="auto" w:fill="auto"/>
          </w:tcPr>
          <w:p w14:paraId="3E679F90" w14:textId="77777777" w:rsidR="000E5A3B" w:rsidRPr="000828CC" w:rsidRDefault="000E5A3B" w:rsidP="00BE6EFC">
            <w:pPr>
              <w:rPr>
                <w:szCs w:val="22"/>
              </w:rPr>
            </w:pPr>
            <w:r w:rsidRPr="000828CC">
              <w:rPr>
                <w:szCs w:val="22"/>
              </w:rPr>
              <w:t>Excellence and Financial Sustainability</w:t>
            </w:r>
          </w:p>
        </w:tc>
        <w:tc>
          <w:tcPr>
            <w:tcW w:w="850" w:type="dxa"/>
            <w:shd w:val="clear" w:color="auto" w:fill="auto"/>
          </w:tcPr>
          <w:p w14:paraId="3E679F91" w14:textId="77777777" w:rsidR="000E5A3B" w:rsidRPr="008770BE" w:rsidRDefault="00BE6EFC" w:rsidP="00A975A7">
            <w:pPr>
              <w:rPr>
                <w:szCs w:val="22"/>
                <w:highlight w:val="yellow"/>
              </w:rPr>
            </w:pPr>
            <w:r w:rsidRPr="00BE6EFC">
              <w:rPr>
                <w:szCs w:val="22"/>
              </w:rPr>
              <w:sym w:font="Wingdings 2" w:char="F050"/>
            </w:r>
          </w:p>
        </w:tc>
      </w:tr>
      <w:tr w:rsidR="000E5A3B" w:rsidRPr="008770BE" w14:paraId="3E679F95" w14:textId="77777777" w:rsidTr="000E5A3B">
        <w:tc>
          <w:tcPr>
            <w:tcW w:w="4423" w:type="dxa"/>
            <w:shd w:val="clear" w:color="auto" w:fill="auto"/>
          </w:tcPr>
          <w:p w14:paraId="3E679F93" w14:textId="77777777" w:rsidR="000E5A3B" w:rsidRPr="000828CC" w:rsidRDefault="000E5A3B" w:rsidP="00BE6EFC">
            <w:pPr>
              <w:rPr>
                <w:szCs w:val="22"/>
              </w:rPr>
            </w:pPr>
            <w:r w:rsidRPr="000828CC">
              <w:rPr>
                <w:szCs w:val="22"/>
              </w:rPr>
              <w:t>Health and Wellbeing</w:t>
            </w:r>
          </w:p>
        </w:tc>
        <w:tc>
          <w:tcPr>
            <w:tcW w:w="850" w:type="dxa"/>
            <w:shd w:val="clear" w:color="auto" w:fill="auto"/>
          </w:tcPr>
          <w:p w14:paraId="3E679F94" w14:textId="77777777" w:rsidR="000E5A3B" w:rsidRPr="008770BE" w:rsidRDefault="000E5A3B" w:rsidP="00A975A7">
            <w:pPr>
              <w:rPr>
                <w:szCs w:val="22"/>
                <w:highlight w:val="yellow"/>
              </w:rPr>
            </w:pPr>
          </w:p>
        </w:tc>
      </w:tr>
      <w:tr w:rsidR="000E5A3B" w:rsidRPr="009C1143" w14:paraId="3E679F98" w14:textId="77777777" w:rsidTr="000E5A3B">
        <w:tc>
          <w:tcPr>
            <w:tcW w:w="4423" w:type="dxa"/>
            <w:shd w:val="clear" w:color="auto" w:fill="auto"/>
          </w:tcPr>
          <w:p w14:paraId="3E679F96" w14:textId="77777777" w:rsidR="000E5A3B" w:rsidRPr="000828CC" w:rsidRDefault="000E5A3B" w:rsidP="00BE6EFC">
            <w:pPr>
              <w:rPr>
                <w:szCs w:val="22"/>
              </w:rPr>
            </w:pPr>
            <w:r w:rsidRPr="000828CC">
              <w:rPr>
                <w:szCs w:val="22"/>
              </w:rPr>
              <w:t>Place</w:t>
            </w:r>
          </w:p>
        </w:tc>
        <w:tc>
          <w:tcPr>
            <w:tcW w:w="850" w:type="dxa"/>
            <w:shd w:val="clear" w:color="auto" w:fill="auto"/>
          </w:tcPr>
          <w:p w14:paraId="3E679F97" w14:textId="77777777" w:rsidR="000E5A3B" w:rsidRPr="009C1143" w:rsidRDefault="000E5A3B" w:rsidP="00A975A7">
            <w:pPr>
              <w:rPr>
                <w:szCs w:val="22"/>
              </w:rPr>
            </w:pPr>
          </w:p>
        </w:tc>
      </w:tr>
    </w:tbl>
    <w:p w14:paraId="3E679F99" w14:textId="77777777" w:rsidR="002D4745" w:rsidRDefault="002D4745"/>
    <w:p w14:paraId="3E679F9A" w14:textId="77777777" w:rsidR="002D4745" w:rsidRDefault="002D4745" w:rsidP="002D4745">
      <w:pPr>
        <w:ind w:firstLine="720"/>
      </w:pPr>
      <w:r>
        <w:t>Projects relating to People in the Corporate Plan:</w:t>
      </w:r>
    </w:p>
    <w:p w14:paraId="3E679F9B"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3E679F9F" w14:textId="77777777" w:rsidTr="000E5A3B">
        <w:tc>
          <w:tcPr>
            <w:tcW w:w="4423" w:type="dxa"/>
            <w:shd w:val="clear" w:color="auto" w:fill="auto"/>
          </w:tcPr>
          <w:p w14:paraId="3E679F9C" w14:textId="77777777" w:rsidR="002D4745" w:rsidRDefault="002D4745" w:rsidP="00A975A7">
            <w:pPr>
              <w:rPr>
                <w:szCs w:val="22"/>
              </w:rPr>
            </w:pPr>
            <w:r>
              <w:rPr>
                <w:szCs w:val="22"/>
              </w:rPr>
              <w:lastRenderedPageBreak/>
              <w:t xml:space="preserve">People </w:t>
            </w:r>
          </w:p>
          <w:p w14:paraId="3E679F9D" w14:textId="77777777" w:rsidR="002D4745" w:rsidRPr="000828CC" w:rsidRDefault="002D4745" w:rsidP="00A975A7">
            <w:pPr>
              <w:rPr>
                <w:szCs w:val="22"/>
              </w:rPr>
            </w:pPr>
          </w:p>
        </w:tc>
        <w:tc>
          <w:tcPr>
            <w:tcW w:w="850" w:type="dxa"/>
            <w:shd w:val="clear" w:color="auto" w:fill="auto"/>
          </w:tcPr>
          <w:p w14:paraId="3E679F9E" w14:textId="77777777" w:rsidR="002D4745" w:rsidRPr="009C1143" w:rsidRDefault="002D4745" w:rsidP="00A975A7">
            <w:pPr>
              <w:rPr>
                <w:szCs w:val="22"/>
              </w:rPr>
            </w:pPr>
          </w:p>
        </w:tc>
      </w:tr>
    </w:tbl>
    <w:p w14:paraId="3E679FA0" w14:textId="77777777" w:rsidR="008C04DA" w:rsidRPr="008C04DA" w:rsidRDefault="008C04DA" w:rsidP="008C04DA">
      <w:pPr>
        <w:keepNext/>
        <w:ind w:left="360"/>
        <w:outlineLvl w:val="0"/>
        <w:rPr>
          <w:szCs w:val="22"/>
        </w:rPr>
      </w:pPr>
    </w:p>
    <w:p w14:paraId="3E679FA1" w14:textId="77777777" w:rsidR="0065176C" w:rsidRDefault="002F5C5E" w:rsidP="009B1FD6">
      <w:pPr>
        <w:keepNext/>
        <w:outlineLvl w:val="0"/>
        <w:rPr>
          <w:b/>
          <w:szCs w:val="22"/>
        </w:rPr>
      </w:pPr>
      <w:r w:rsidRPr="008C04DA">
        <w:rPr>
          <w:b/>
          <w:szCs w:val="22"/>
        </w:rPr>
        <w:t>BACKGROUND TO THE REPORT</w:t>
      </w:r>
    </w:p>
    <w:p w14:paraId="3E679FA2" w14:textId="77777777" w:rsidR="00EF3B6C" w:rsidRDefault="00EF3B6C" w:rsidP="00EF3B6C">
      <w:pPr>
        <w:keepNext/>
        <w:ind w:left="567"/>
        <w:outlineLvl w:val="0"/>
        <w:rPr>
          <w:b/>
          <w:szCs w:val="22"/>
        </w:rPr>
      </w:pPr>
    </w:p>
    <w:p w14:paraId="3E679FA3" w14:textId="7F23EB16" w:rsidR="00BE0166" w:rsidRDefault="009B1FD6" w:rsidP="009B1FD6">
      <w:pPr>
        <w:keepNext/>
        <w:ind w:left="720"/>
        <w:outlineLvl w:val="0"/>
        <w:rPr>
          <w:szCs w:val="22"/>
        </w:rPr>
      </w:pPr>
      <w:r w:rsidRPr="009B1FD6">
        <w:rPr>
          <w:b/>
          <w:szCs w:val="22"/>
        </w:rPr>
        <w:t>5a.</w:t>
      </w:r>
      <w:r>
        <w:rPr>
          <w:szCs w:val="22"/>
        </w:rPr>
        <w:t xml:space="preserve"> </w:t>
      </w:r>
      <w:r w:rsidR="00BE6EFC" w:rsidRPr="00BE0166">
        <w:rPr>
          <w:szCs w:val="22"/>
        </w:rPr>
        <w:t xml:space="preserve">The Secretary of State has the power to declare an area to be an Enterprise Zone. Enterprise Zones are sites designated for business development </w:t>
      </w:r>
      <w:r w:rsidR="00BE0166" w:rsidRPr="00BE0166">
        <w:rPr>
          <w:szCs w:val="22"/>
        </w:rPr>
        <w:t>which may offer incentives such as business rates discounts for new businesses location on the sites</w:t>
      </w:r>
      <w:r w:rsidR="007251C6">
        <w:rPr>
          <w:szCs w:val="22"/>
        </w:rPr>
        <w:t>.</w:t>
      </w:r>
    </w:p>
    <w:p w14:paraId="3E679FA4" w14:textId="77777777" w:rsidR="007251C6" w:rsidRDefault="007251C6" w:rsidP="009B1FD6">
      <w:pPr>
        <w:keepNext/>
        <w:ind w:left="513"/>
        <w:outlineLvl w:val="0"/>
        <w:rPr>
          <w:szCs w:val="22"/>
        </w:rPr>
      </w:pPr>
    </w:p>
    <w:p w14:paraId="3E679FA5" w14:textId="4ABFCC9A" w:rsidR="007251C6" w:rsidRDefault="009B1FD6" w:rsidP="009B1FD6">
      <w:pPr>
        <w:keepNext/>
        <w:ind w:left="720"/>
        <w:outlineLvl w:val="0"/>
        <w:rPr>
          <w:szCs w:val="22"/>
        </w:rPr>
      </w:pPr>
      <w:r w:rsidRPr="009B1FD6">
        <w:rPr>
          <w:b/>
          <w:szCs w:val="22"/>
        </w:rPr>
        <w:t>5b.</w:t>
      </w:r>
      <w:r>
        <w:rPr>
          <w:szCs w:val="22"/>
        </w:rPr>
        <w:t xml:space="preserve"> </w:t>
      </w:r>
      <w:r w:rsidR="007251C6">
        <w:rPr>
          <w:szCs w:val="22"/>
        </w:rPr>
        <w:t>Samlesbury Aerospace Enterprise Zone co</w:t>
      </w:r>
      <w:r w:rsidR="003A5F5F">
        <w:rPr>
          <w:szCs w:val="22"/>
        </w:rPr>
        <w:t>nsists</w:t>
      </w:r>
      <w:r w:rsidR="007251C6">
        <w:rPr>
          <w:szCs w:val="22"/>
        </w:rPr>
        <w:t xml:space="preserve"> of Lancashire Advanced Engineering and Manufacturing and the site spans both South Ribble and Ribble Valley Borough Councils</w:t>
      </w:r>
      <w:r w:rsidR="00C12DBB">
        <w:rPr>
          <w:szCs w:val="22"/>
        </w:rPr>
        <w:t xml:space="preserve"> and is classed as a Designated Area for business rates purposes. </w:t>
      </w:r>
      <w:r w:rsidR="007251C6">
        <w:rPr>
          <w:szCs w:val="22"/>
        </w:rPr>
        <w:t>Designated Area</w:t>
      </w:r>
      <w:r w:rsidR="00C12DBB">
        <w:rPr>
          <w:szCs w:val="22"/>
        </w:rPr>
        <w:t>s were classified as such by the Non-Domestic Rating (Designated Areas) Regulations 2013</w:t>
      </w:r>
      <w:r w:rsidR="007251C6">
        <w:rPr>
          <w:szCs w:val="22"/>
        </w:rPr>
        <w:t xml:space="preserve"> </w:t>
      </w:r>
      <w:r w:rsidR="00C12DBB">
        <w:rPr>
          <w:szCs w:val="22"/>
        </w:rPr>
        <w:t xml:space="preserve">so as to enable the local retention of any growth in business rates within the Enterprise Zone </w:t>
      </w:r>
      <w:r w:rsidR="00020407">
        <w:rPr>
          <w:szCs w:val="22"/>
        </w:rPr>
        <w:t xml:space="preserve">(EZ) </w:t>
      </w:r>
      <w:r w:rsidR="00C12DBB" w:rsidRPr="004E50B5">
        <w:rPr>
          <w:szCs w:val="22"/>
        </w:rPr>
        <w:t xml:space="preserve">pursuant to Schedule 7B of the Local Government Finance Act 1988.  </w:t>
      </w:r>
    </w:p>
    <w:p w14:paraId="3E679FA6" w14:textId="77777777" w:rsidR="00BE0166" w:rsidRPr="00BE0166" w:rsidRDefault="00BE0166" w:rsidP="009B1FD6">
      <w:pPr>
        <w:keepNext/>
        <w:ind w:left="513"/>
        <w:outlineLvl w:val="0"/>
        <w:rPr>
          <w:szCs w:val="22"/>
        </w:rPr>
      </w:pPr>
      <w:r w:rsidRPr="00BE0166">
        <w:rPr>
          <w:i/>
          <w:szCs w:val="22"/>
        </w:rPr>
        <w:t>.</w:t>
      </w:r>
    </w:p>
    <w:p w14:paraId="3E679FA7" w14:textId="026135A2" w:rsidR="008C04DA" w:rsidRDefault="009B1FD6" w:rsidP="009B1FD6">
      <w:pPr>
        <w:keepNext/>
        <w:ind w:left="720"/>
        <w:outlineLvl w:val="0"/>
        <w:rPr>
          <w:szCs w:val="22"/>
        </w:rPr>
      </w:pPr>
      <w:r w:rsidRPr="009B1FD6">
        <w:rPr>
          <w:b/>
          <w:szCs w:val="22"/>
        </w:rPr>
        <w:t>5c</w:t>
      </w:r>
      <w:r>
        <w:rPr>
          <w:szCs w:val="22"/>
        </w:rPr>
        <w:t xml:space="preserve">. </w:t>
      </w:r>
      <w:r w:rsidR="006E45A7" w:rsidRPr="008D403E">
        <w:rPr>
          <w:szCs w:val="22"/>
        </w:rPr>
        <w:t xml:space="preserve">A local enterprise partnership is a voluntary partnership between local businesses to help determine local economic priorities and lead economic growth within the local area. This includes arrangements for the establishment and operation of Enterprise Zones. A local authority </w:t>
      </w:r>
      <w:r w:rsidR="00BE0166" w:rsidRPr="008D403E">
        <w:rPr>
          <w:szCs w:val="22"/>
        </w:rPr>
        <w:t xml:space="preserve">may act as an accountable body on behalf of a local enterprise zone. </w:t>
      </w:r>
      <w:r w:rsidR="008D403E">
        <w:rPr>
          <w:szCs w:val="22"/>
        </w:rPr>
        <w:t xml:space="preserve">Lancashire County Council </w:t>
      </w:r>
      <w:r w:rsidR="006E43C3">
        <w:rPr>
          <w:szCs w:val="22"/>
        </w:rPr>
        <w:t xml:space="preserve">(LCC) </w:t>
      </w:r>
      <w:r w:rsidR="008D403E">
        <w:rPr>
          <w:szCs w:val="22"/>
        </w:rPr>
        <w:t>is the accountable body for the Lancashire Enterprise Zone</w:t>
      </w:r>
      <w:r w:rsidR="007251C6">
        <w:rPr>
          <w:szCs w:val="22"/>
        </w:rPr>
        <w:t xml:space="preserve"> (the ‘LEP’).</w:t>
      </w:r>
    </w:p>
    <w:p w14:paraId="3E679FA8" w14:textId="77777777" w:rsidR="00020407" w:rsidRDefault="00020407" w:rsidP="009B1FD6">
      <w:pPr>
        <w:keepNext/>
        <w:ind w:left="513"/>
        <w:outlineLvl w:val="0"/>
        <w:rPr>
          <w:szCs w:val="22"/>
        </w:rPr>
      </w:pPr>
    </w:p>
    <w:p w14:paraId="3E679FA9" w14:textId="11870879" w:rsidR="003A4FCE" w:rsidRDefault="009B1FD6" w:rsidP="009B1FD6">
      <w:pPr>
        <w:keepNext/>
        <w:ind w:left="720"/>
        <w:outlineLvl w:val="0"/>
        <w:rPr>
          <w:szCs w:val="22"/>
        </w:rPr>
      </w:pPr>
      <w:r w:rsidRPr="009B1FD6">
        <w:rPr>
          <w:b/>
          <w:szCs w:val="22"/>
        </w:rPr>
        <w:t>5d.</w:t>
      </w:r>
      <w:r>
        <w:rPr>
          <w:szCs w:val="22"/>
        </w:rPr>
        <w:t xml:space="preserve"> </w:t>
      </w:r>
      <w:r w:rsidR="00020407">
        <w:rPr>
          <w:szCs w:val="22"/>
        </w:rPr>
        <w:t xml:space="preserve">In 2014 the LEP agreed that the first call on any Business Rates growth generated on the Lancashire EZ at Samlesbury be used to repay the borrowing incurred by the County Council to deliver Phase 1 infrastructure on the site. </w:t>
      </w:r>
    </w:p>
    <w:p w14:paraId="3E679FAA" w14:textId="77777777" w:rsidR="003A4FCE" w:rsidRDefault="003A4FCE" w:rsidP="009B1FD6">
      <w:pPr>
        <w:pStyle w:val="ListParagraph"/>
        <w:spacing w:after="0"/>
        <w:ind w:left="1440"/>
      </w:pPr>
    </w:p>
    <w:p w14:paraId="3E679FAB" w14:textId="76AAE82C" w:rsidR="00020407" w:rsidRDefault="009B1FD6" w:rsidP="009B1FD6">
      <w:pPr>
        <w:keepNext/>
        <w:ind w:left="720"/>
        <w:outlineLvl w:val="0"/>
        <w:rPr>
          <w:szCs w:val="22"/>
        </w:rPr>
      </w:pPr>
      <w:r w:rsidRPr="009B1FD6">
        <w:rPr>
          <w:b/>
          <w:szCs w:val="22"/>
        </w:rPr>
        <w:t>5e.</w:t>
      </w:r>
      <w:r>
        <w:rPr>
          <w:szCs w:val="22"/>
        </w:rPr>
        <w:t xml:space="preserve"> </w:t>
      </w:r>
      <w:r w:rsidR="00020407">
        <w:rPr>
          <w:szCs w:val="22"/>
        </w:rPr>
        <w:t xml:space="preserve">The </w:t>
      </w:r>
      <w:r w:rsidR="003A4FCE">
        <w:rPr>
          <w:szCs w:val="22"/>
        </w:rPr>
        <w:t>purpose of the Enterprise Zone Business Rate Growth agreement is to agree</w:t>
      </w:r>
      <w:r w:rsidR="003A5F5F">
        <w:rPr>
          <w:szCs w:val="22"/>
        </w:rPr>
        <w:t xml:space="preserve"> formally</w:t>
      </w:r>
      <w:r w:rsidR="003A4FCE">
        <w:rPr>
          <w:szCs w:val="22"/>
        </w:rPr>
        <w:t xml:space="preserve"> the terms on which </w:t>
      </w:r>
      <w:r w:rsidR="003C3CF2">
        <w:rPr>
          <w:szCs w:val="22"/>
        </w:rPr>
        <w:t xml:space="preserve">business rates in relation to EZs are paid and managed by LEP. </w:t>
      </w:r>
    </w:p>
    <w:p w14:paraId="3E679FAC" w14:textId="77777777" w:rsidR="006B223E" w:rsidRDefault="006B223E" w:rsidP="009B1FD6">
      <w:pPr>
        <w:pStyle w:val="ListParagraph"/>
        <w:spacing w:after="0"/>
        <w:ind w:left="1440"/>
      </w:pPr>
    </w:p>
    <w:p w14:paraId="3E679FAD" w14:textId="78CFD177" w:rsidR="006B223E" w:rsidRPr="006704C2" w:rsidRDefault="009B1FD6" w:rsidP="009B1FD6">
      <w:pPr>
        <w:keepNext/>
        <w:ind w:left="720"/>
        <w:outlineLvl w:val="0"/>
        <w:rPr>
          <w:rFonts w:cs="Arial"/>
          <w:b/>
        </w:rPr>
      </w:pPr>
      <w:r w:rsidRPr="009B1FD6">
        <w:rPr>
          <w:b/>
          <w:szCs w:val="22"/>
        </w:rPr>
        <w:t>5f</w:t>
      </w:r>
      <w:r>
        <w:rPr>
          <w:szCs w:val="22"/>
        </w:rPr>
        <w:t xml:space="preserve">. </w:t>
      </w:r>
      <w:r w:rsidR="006B223E">
        <w:rPr>
          <w:szCs w:val="22"/>
        </w:rPr>
        <w:t xml:space="preserve">Prior to 2018/19, there were no properties in the Enterprise Zone on the Valuation Office list for South Ribble. </w:t>
      </w:r>
      <w:r w:rsidR="00A724DD">
        <w:rPr>
          <w:szCs w:val="22"/>
        </w:rPr>
        <w:t>The B</w:t>
      </w:r>
      <w:r w:rsidR="006B223E">
        <w:rPr>
          <w:szCs w:val="22"/>
        </w:rPr>
        <w:t xml:space="preserve">AE Academy </w:t>
      </w:r>
      <w:r w:rsidR="00A724DD">
        <w:rPr>
          <w:szCs w:val="22"/>
        </w:rPr>
        <w:t xml:space="preserve">was originally going to be included within the main BAE assessment (in Ribble Valley) but the Valuation Office rated it separately and </w:t>
      </w:r>
      <w:r w:rsidR="00FB6EAA">
        <w:rPr>
          <w:szCs w:val="22"/>
        </w:rPr>
        <w:t xml:space="preserve">consequently </w:t>
      </w:r>
      <w:r w:rsidR="00A724DD">
        <w:rPr>
          <w:szCs w:val="22"/>
        </w:rPr>
        <w:t>it was added to the rating list for South Ribble</w:t>
      </w:r>
      <w:r w:rsidR="00FB6EAA">
        <w:rPr>
          <w:szCs w:val="22"/>
        </w:rPr>
        <w:t xml:space="preserve"> during 2018/19</w:t>
      </w:r>
      <w:r w:rsidR="00A724DD">
        <w:rPr>
          <w:szCs w:val="22"/>
        </w:rPr>
        <w:t xml:space="preserve">. As the facility has been in operation since 2016, the effective date for rating purposes was December 2016.  </w:t>
      </w:r>
      <w:r w:rsidR="006B223E">
        <w:rPr>
          <w:szCs w:val="22"/>
        </w:rPr>
        <w:t xml:space="preserve">  </w:t>
      </w:r>
      <w:r w:rsidR="006B223E" w:rsidRPr="006704C2">
        <w:rPr>
          <w:szCs w:val="22"/>
        </w:rPr>
        <w:t xml:space="preserve"> </w:t>
      </w:r>
    </w:p>
    <w:p w14:paraId="57A3C07C" w14:textId="77777777" w:rsidR="009B1FD6" w:rsidRDefault="009B1FD6" w:rsidP="009B1FD6">
      <w:pPr>
        <w:keepNext/>
        <w:outlineLvl w:val="0"/>
        <w:rPr>
          <w:szCs w:val="22"/>
        </w:rPr>
      </w:pPr>
    </w:p>
    <w:p w14:paraId="3E679FAF" w14:textId="77777777" w:rsidR="00EF3B6C" w:rsidRDefault="0037228A" w:rsidP="009B1FD6">
      <w:pPr>
        <w:keepNext/>
        <w:outlineLvl w:val="0"/>
        <w:rPr>
          <w:b/>
          <w:szCs w:val="22"/>
        </w:rPr>
      </w:pPr>
      <w:r w:rsidRPr="006B223E">
        <w:rPr>
          <w:b/>
          <w:szCs w:val="22"/>
        </w:rPr>
        <w:t xml:space="preserve">PROPOSALS </w:t>
      </w:r>
    </w:p>
    <w:p w14:paraId="3E679FB0" w14:textId="77777777" w:rsidR="006B223E" w:rsidRPr="006B223E" w:rsidRDefault="006B223E" w:rsidP="006B223E">
      <w:pPr>
        <w:keepNext/>
        <w:outlineLvl w:val="0"/>
        <w:rPr>
          <w:b/>
          <w:szCs w:val="22"/>
        </w:rPr>
      </w:pPr>
    </w:p>
    <w:p w14:paraId="3E679FB1" w14:textId="0A4A0464" w:rsidR="006E43C3" w:rsidRPr="006E43C3" w:rsidRDefault="009B1FD6" w:rsidP="009B1FD6">
      <w:pPr>
        <w:keepNext/>
        <w:ind w:left="720"/>
        <w:outlineLvl w:val="0"/>
        <w:rPr>
          <w:rFonts w:cs="Arial"/>
        </w:rPr>
      </w:pPr>
      <w:r w:rsidRPr="009B1FD6">
        <w:rPr>
          <w:rFonts w:cs="Arial"/>
          <w:b/>
        </w:rPr>
        <w:t>6a.</w:t>
      </w:r>
      <w:r>
        <w:rPr>
          <w:rFonts w:cs="Arial"/>
        </w:rPr>
        <w:t xml:space="preserve"> </w:t>
      </w:r>
      <w:r w:rsidR="006E43C3" w:rsidRPr="006E43C3">
        <w:rPr>
          <w:rFonts w:cs="Arial"/>
        </w:rPr>
        <w:t xml:space="preserve">The proposal is to </w:t>
      </w:r>
      <w:r w:rsidR="006E43C3">
        <w:rPr>
          <w:rFonts w:cs="Arial"/>
        </w:rPr>
        <w:t xml:space="preserve">sign the Enterprise Zone Business Rate agreement between South Ribble Borough Council and Lancashire County Council to formalise the arrangement for the payment over of the Business rates which relates to growth in the Enterprise Zone. </w:t>
      </w:r>
    </w:p>
    <w:p w14:paraId="3E679FB2" w14:textId="77777777" w:rsidR="006E43C3" w:rsidRPr="006E43C3" w:rsidRDefault="006E43C3" w:rsidP="009B1FD6">
      <w:pPr>
        <w:keepNext/>
        <w:ind w:left="720"/>
        <w:outlineLvl w:val="0"/>
        <w:rPr>
          <w:rFonts w:cs="Arial"/>
          <w:b/>
        </w:rPr>
      </w:pPr>
    </w:p>
    <w:p w14:paraId="3E679FB3" w14:textId="45708591" w:rsidR="006704C2" w:rsidRPr="00012EEA" w:rsidRDefault="009B1FD6" w:rsidP="009B1FD6">
      <w:pPr>
        <w:keepNext/>
        <w:ind w:left="720"/>
        <w:outlineLvl w:val="0"/>
        <w:rPr>
          <w:rFonts w:cs="Arial"/>
          <w:b/>
        </w:rPr>
      </w:pPr>
      <w:r w:rsidRPr="009B1FD6">
        <w:rPr>
          <w:b/>
          <w:szCs w:val="22"/>
        </w:rPr>
        <w:t>6b.</w:t>
      </w:r>
      <w:r>
        <w:rPr>
          <w:szCs w:val="22"/>
        </w:rPr>
        <w:t xml:space="preserve"> </w:t>
      </w:r>
      <w:r w:rsidR="00A724DD" w:rsidRPr="006E43C3">
        <w:rPr>
          <w:szCs w:val="22"/>
        </w:rPr>
        <w:t>At the end of the financial year</w:t>
      </w:r>
      <w:r w:rsidR="006E43C3" w:rsidRPr="006E43C3">
        <w:rPr>
          <w:szCs w:val="22"/>
        </w:rPr>
        <w:t xml:space="preserve"> 2018/19</w:t>
      </w:r>
      <w:r w:rsidR="006B223E" w:rsidRPr="006E43C3">
        <w:rPr>
          <w:szCs w:val="22"/>
        </w:rPr>
        <w:t>, the</w:t>
      </w:r>
      <w:r w:rsidR="00A724DD" w:rsidRPr="006E43C3">
        <w:rPr>
          <w:szCs w:val="22"/>
        </w:rPr>
        <w:t xml:space="preserve"> amount of retained business rate income in relation to the Designated Area was £418,171. </w:t>
      </w:r>
      <w:r w:rsidR="006E43C3" w:rsidRPr="006E43C3">
        <w:rPr>
          <w:szCs w:val="22"/>
        </w:rPr>
        <w:t xml:space="preserve">This amount includes back dated rates </w:t>
      </w:r>
      <w:r w:rsidR="00FB6EAA">
        <w:rPr>
          <w:szCs w:val="22"/>
        </w:rPr>
        <w:t>receivable</w:t>
      </w:r>
      <w:r w:rsidR="006E43C3" w:rsidRPr="006E43C3">
        <w:rPr>
          <w:szCs w:val="22"/>
        </w:rPr>
        <w:t xml:space="preserve"> for 2016/17 and 2017/18.The Council’s business rate baseline excludes </w:t>
      </w:r>
      <w:r w:rsidR="00B408CA">
        <w:rPr>
          <w:szCs w:val="22"/>
        </w:rPr>
        <w:t xml:space="preserve">any </w:t>
      </w:r>
      <w:r w:rsidR="006E43C3" w:rsidRPr="006E43C3">
        <w:rPr>
          <w:szCs w:val="22"/>
        </w:rPr>
        <w:t xml:space="preserve">business rates </w:t>
      </w:r>
      <w:r w:rsidR="00B408CA">
        <w:rPr>
          <w:szCs w:val="22"/>
        </w:rPr>
        <w:t xml:space="preserve">income </w:t>
      </w:r>
      <w:r w:rsidR="006E43C3" w:rsidRPr="006E43C3">
        <w:rPr>
          <w:szCs w:val="22"/>
        </w:rPr>
        <w:t>for this site and therefore the full amount is payable to LCC</w:t>
      </w:r>
      <w:r w:rsidR="00B408CA">
        <w:rPr>
          <w:szCs w:val="22"/>
        </w:rPr>
        <w:t>,</w:t>
      </w:r>
      <w:r w:rsidR="006E43C3" w:rsidRPr="006E43C3">
        <w:rPr>
          <w:szCs w:val="22"/>
        </w:rPr>
        <w:t xml:space="preserve"> </w:t>
      </w:r>
      <w:r w:rsidR="006E43C3">
        <w:rPr>
          <w:szCs w:val="22"/>
        </w:rPr>
        <w:t>as the accountable body for the</w:t>
      </w:r>
      <w:r w:rsidR="006E43C3" w:rsidRPr="006E43C3">
        <w:rPr>
          <w:szCs w:val="22"/>
        </w:rPr>
        <w:t xml:space="preserve"> LEP. </w:t>
      </w:r>
    </w:p>
    <w:p w14:paraId="3E679FB4" w14:textId="77777777" w:rsidR="00012EEA" w:rsidRDefault="00012EEA" w:rsidP="009B1FD6">
      <w:pPr>
        <w:pStyle w:val="ListParagraph"/>
        <w:spacing w:after="0"/>
        <w:ind w:left="1440"/>
        <w:rPr>
          <w:rFonts w:cs="Arial"/>
          <w:b/>
        </w:rPr>
      </w:pPr>
    </w:p>
    <w:p w14:paraId="3E679FB5" w14:textId="6D5C91AA" w:rsidR="00012EEA" w:rsidRPr="00012EEA" w:rsidRDefault="009B1FD6" w:rsidP="009B1FD6">
      <w:pPr>
        <w:keepNext/>
        <w:ind w:left="720"/>
        <w:outlineLvl w:val="0"/>
        <w:rPr>
          <w:rFonts w:cs="Arial"/>
        </w:rPr>
      </w:pPr>
      <w:r w:rsidRPr="009B1FD6">
        <w:rPr>
          <w:rFonts w:cs="Arial"/>
          <w:b/>
        </w:rPr>
        <w:t>6c.</w:t>
      </w:r>
      <w:r>
        <w:rPr>
          <w:rFonts w:cs="Arial"/>
        </w:rPr>
        <w:t xml:space="preserve"> </w:t>
      </w:r>
      <w:r w:rsidR="006D26B1">
        <w:rPr>
          <w:rFonts w:cs="Arial"/>
        </w:rPr>
        <w:t xml:space="preserve">From 2019/20 onwards, </w:t>
      </w:r>
      <w:r w:rsidR="00012EEA" w:rsidRPr="00012EEA">
        <w:rPr>
          <w:rFonts w:cs="Arial"/>
        </w:rPr>
        <w:t xml:space="preserve">South Ribble will continue to collect </w:t>
      </w:r>
      <w:r w:rsidR="00012EEA">
        <w:rPr>
          <w:rFonts w:cs="Arial"/>
        </w:rPr>
        <w:t xml:space="preserve">relevant business rates growth and make payment to the LEP </w:t>
      </w:r>
      <w:r w:rsidR="006D26B1">
        <w:rPr>
          <w:rFonts w:cs="Arial"/>
        </w:rPr>
        <w:t xml:space="preserve">during the year </w:t>
      </w:r>
      <w:r w:rsidR="00012EEA">
        <w:rPr>
          <w:rFonts w:cs="Arial"/>
        </w:rPr>
        <w:t xml:space="preserve">based on the </w:t>
      </w:r>
      <w:r w:rsidR="006D26B1">
        <w:rPr>
          <w:rFonts w:cs="Arial"/>
        </w:rPr>
        <w:t xml:space="preserve">forecast for the year. There will </w:t>
      </w:r>
      <w:r w:rsidR="00577A94">
        <w:rPr>
          <w:rFonts w:cs="Arial"/>
        </w:rPr>
        <w:t xml:space="preserve">be </w:t>
      </w:r>
      <w:r w:rsidR="006D26B1">
        <w:rPr>
          <w:rFonts w:cs="Arial"/>
        </w:rPr>
        <w:t xml:space="preserve">an annual reconciliation at the end of </w:t>
      </w:r>
      <w:r w:rsidR="00577A94">
        <w:rPr>
          <w:rFonts w:cs="Arial"/>
        </w:rPr>
        <w:t xml:space="preserve">each </w:t>
      </w:r>
      <w:r w:rsidR="006D26B1">
        <w:rPr>
          <w:rFonts w:cs="Arial"/>
        </w:rPr>
        <w:t xml:space="preserve">financial year </w:t>
      </w:r>
      <w:r w:rsidR="00577A94">
        <w:rPr>
          <w:rFonts w:cs="Arial"/>
        </w:rPr>
        <w:t xml:space="preserve">and a reconciliation payment will be paid to/recovered from the LEP. </w:t>
      </w:r>
      <w:r w:rsidR="006D26B1">
        <w:rPr>
          <w:rFonts w:cs="Arial"/>
        </w:rPr>
        <w:t xml:space="preserve">  </w:t>
      </w:r>
      <w:r w:rsidR="00012EEA" w:rsidRPr="00012EEA">
        <w:rPr>
          <w:rFonts w:cs="Arial"/>
        </w:rPr>
        <w:t xml:space="preserve"> </w:t>
      </w:r>
    </w:p>
    <w:p w14:paraId="3E679FB6" w14:textId="77777777" w:rsidR="006E43C3" w:rsidRDefault="006E43C3" w:rsidP="001806C9">
      <w:pPr>
        <w:pStyle w:val="ListParagraph"/>
        <w:spacing w:after="0"/>
        <w:rPr>
          <w:rFonts w:cs="Arial"/>
          <w:b/>
        </w:rPr>
      </w:pPr>
    </w:p>
    <w:p w14:paraId="12ADF6D7" w14:textId="77777777" w:rsidR="009B1FD6" w:rsidRDefault="009B1FD6" w:rsidP="009B1FD6">
      <w:pPr>
        <w:rPr>
          <w:rFonts w:cs="Arial"/>
          <w:b/>
          <w:caps/>
        </w:rPr>
      </w:pPr>
    </w:p>
    <w:p w14:paraId="7547F4E1" w14:textId="77777777" w:rsidR="009B1FD6" w:rsidRDefault="009B1FD6" w:rsidP="009B1FD6">
      <w:pPr>
        <w:rPr>
          <w:rFonts w:cs="Arial"/>
          <w:b/>
          <w:caps/>
        </w:rPr>
      </w:pPr>
      <w:bookmarkStart w:id="0" w:name="_GoBack"/>
      <w:bookmarkEnd w:id="0"/>
    </w:p>
    <w:p w14:paraId="3E679FB7" w14:textId="77777777" w:rsidR="001A24F9" w:rsidRPr="000828CC" w:rsidRDefault="001A24F9" w:rsidP="009B1FD6">
      <w:pPr>
        <w:rPr>
          <w:rFonts w:cs="Arial"/>
          <w:b/>
          <w:caps/>
        </w:rPr>
      </w:pPr>
      <w:r w:rsidRPr="000828CC">
        <w:rPr>
          <w:rFonts w:cs="Arial"/>
          <w:b/>
          <w:caps/>
        </w:rPr>
        <w:lastRenderedPageBreak/>
        <w:t>Financial implications</w:t>
      </w:r>
    </w:p>
    <w:p w14:paraId="1D57F5D2" w14:textId="77777777" w:rsidR="009B1FD6" w:rsidRDefault="009B1FD6" w:rsidP="009B1FD6">
      <w:pPr>
        <w:rPr>
          <w:rFonts w:cs="Arial"/>
          <w:b/>
          <w:caps/>
        </w:rPr>
      </w:pPr>
    </w:p>
    <w:p w14:paraId="3E679FB9" w14:textId="7DB7F381" w:rsidR="00577A94" w:rsidRPr="009B1FD6" w:rsidRDefault="003C2CC9" w:rsidP="009B1FD6">
      <w:pPr>
        <w:pStyle w:val="ListParagraph"/>
        <w:numPr>
          <w:ilvl w:val="0"/>
          <w:numId w:val="14"/>
        </w:numPr>
        <w:rPr>
          <w:rFonts w:ascii="Arial" w:hAnsi="Arial" w:cs="Arial"/>
          <w:caps/>
        </w:rPr>
      </w:pPr>
      <w:r w:rsidRPr="009B1FD6">
        <w:rPr>
          <w:rFonts w:ascii="Arial" w:hAnsi="Arial" w:cs="Arial"/>
        </w:rPr>
        <w:t xml:space="preserve">There are no financial implications as this income is outside the </w:t>
      </w:r>
      <w:r w:rsidR="004727CD" w:rsidRPr="009B1FD6">
        <w:rPr>
          <w:rFonts w:ascii="Arial" w:hAnsi="Arial" w:cs="Arial"/>
        </w:rPr>
        <w:t xml:space="preserve">central share and pooling arrangements for retained business rates income. It is recorded separately on the annual returns to government: NNDR1 (forecast business rates) and NNDR 3 (actual outturn business rates). The figure of £418,171 is reported on the council’s NNDR 3 return </w:t>
      </w:r>
      <w:r w:rsidR="00012EEA" w:rsidRPr="009B1FD6">
        <w:rPr>
          <w:rFonts w:ascii="Arial" w:hAnsi="Arial" w:cs="Arial"/>
        </w:rPr>
        <w:t xml:space="preserve">to MHCLG </w:t>
      </w:r>
      <w:r w:rsidR="004727CD" w:rsidRPr="009B1FD6">
        <w:rPr>
          <w:rFonts w:ascii="Arial" w:hAnsi="Arial" w:cs="Arial"/>
        </w:rPr>
        <w:t xml:space="preserve">for 2018/19. </w:t>
      </w:r>
      <w:r w:rsidR="00577A94" w:rsidRPr="009B1FD6">
        <w:rPr>
          <w:rFonts w:ascii="Arial" w:hAnsi="Arial" w:cs="Arial"/>
        </w:rPr>
        <w:t>The forecast amount of net rates income for 2019/20 in respect of the designated area is £174,478, after adjusting for reliefs and potential losses.</w:t>
      </w:r>
    </w:p>
    <w:p w14:paraId="3E679FBA" w14:textId="77777777" w:rsidR="001A24F9" w:rsidRPr="000828CC" w:rsidRDefault="004727CD" w:rsidP="001A24F9">
      <w:pPr>
        <w:rPr>
          <w:rFonts w:cs="Arial"/>
          <w:b/>
          <w:color w:val="2E74B5" w:themeColor="accent1" w:themeShade="BF"/>
        </w:rPr>
      </w:pPr>
      <w:r>
        <w:rPr>
          <w:rFonts w:cs="Arial"/>
        </w:rPr>
        <w:t xml:space="preserve">  </w:t>
      </w:r>
    </w:p>
    <w:p w14:paraId="3E679FBB" w14:textId="77777777" w:rsidR="007A0801" w:rsidRPr="000828CC" w:rsidRDefault="007A0801" w:rsidP="009B1FD6">
      <w:pPr>
        <w:rPr>
          <w:rFonts w:cs="Arial"/>
          <w:b/>
          <w:caps/>
        </w:rPr>
      </w:pPr>
      <w:r w:rsidRPr="000828CC">
        <w:rPr>
          <w:rFonts w:cs="Arial"/>
          <w:b/>
          <w:caps/>
        </w:rPr>
        <w:t>LEGAL IMPLICATIONS</w:t>
      </w:r>
    </w:p>
    <w:p w14:paraId="3E679FBC" w14:textId="77777777" w:rsidR="007A0801" w:rsidRPr="000828CC" w:rsidRDefault="007A0801" w:rsidP="007A0801">
      <w:pPr>
        <w:rPr>
          <w:rFonts w:cs="Arial"/>
          <w:b/>
          <w:caps/>
        </w:rPr>
      </w:pPr>
    </w:p>
    <w:p w14:paraId="3E679FBD" w14:textId="7736DF11" w:rsidR="003A5F5F" w:rsidRPr="009B1FD6" w:rsidRDefault="003A5F5F" w:rsidP="009B1FD6">
      <w:pPr>
        <w:pStyle w:val="ListParagraph"/>
        <w:numPr>
          <w:ilvl w:val="0"/>
          <w:numId w:val="14"/>
        </w:numPr>
        <w:rPr>
          <w:rFonts w:ascii="Arial" w:hAnsi="Arial" w:cs="Arial"/>
        </w:rPr>
      </w:pPr>
      <w:r w:rsidRPr="009B1FD6">
        <w:rPr>
          <w:rFonts w:ascii="Arial" w:hAnsi="Arial" w:cs="Arial"/>
        </w:rPr>
        <w:t>A formal legal agreement will be entered into to set out the terms and conditions relating to the payment of the business rates. Due to the quantum of money involved this needs to be a Cabinet decision.</w:t>
      </w:r>
    </w:p>
    <w:p w14:paraId="3E679FBE" w14:textId="77777777" w:rsidR="007A0801" w:rsidRPr="007A0801" w:rsidRDefault="007A0801" w:rsidP="007A0801">
      <w:pPr>
        <w:rPr>
          <w:rFonts w:cs="Arial"/>
          <w:caps/>
        </w:rPr>
      </w:pPr>
    </w:p>
    <w:p w14:paraId="3E679FBF" w14:textId="77777777" w:rsidR="001A24F9" w:rsidRDefault="001A24F9" w:rsidP="009B1FD6">
      <w:pPr>
        <w:rPr>
          <w:rFonts w:cs="Arial"/>
          <w:b/>
          <w:caps/>
        </w:rPr>
      </w:pPr>
      <w:r w:rsidRPr="00491976">
        <w:rPr>
          <w:rFonts w:cs="Arial"/>
          <w:b/>
          <w:caps/>
        </w:rPr>
        <w:t>Human Resources and Organisational Development implications</w:t>
      </w:r>
    </w:p>
    <w:p w14:paraId="3E679FC0" w14:textId="77777777" w:rsidR="007A0801" w:rsidRDefault="007A0801" w:rsidP="007A0801">
      <w:pPr>
        <w:ind w:left="567"/>
        <w:rPr>
          <w:rFonts w:cs="Arial"/>
          <w:b/>
          <w:caps/>
        </w:rPr>
      </w:pPr>
    </w:p>
    <w:p w14:paraId="3E679FC1" w14:textId="77777777" w:rsidR="001A24F9" w:rsidRPr="00FB6EAA" w:rsidRDefault="00FB6EAA" w:rsidP="009B1FD6">
      <w:pPr>
        <w:rPr>
          <w:rFonts w:cs="Arial"/>
          <w:caps/>
        </w:rPr>
      </w:pPr>
      <w:r w:rsidRPr="00FB6EAA">
        <w:rPr>
          <w:rFonts w:cs="Arial"/>
        </w:rPr>
        <w:t>There are none</w:t>
      </w:r>
      <w:r>
        <w:rPr>
          <w:rFonts w:cs="Arial"/>
          <w:color w:val="4472C4"/>
        </w:rPr>
        <w:t>.</w:t>
      </w:r>
    </w:p>
    <w:p w14:paraId="3E679FC2" w14:textId="77777777" w:rsidR="001A24F9" w:rsidRDefault="001A24F9" w:rsidP="001A24F9">
      <w:pPr>
        <w:rPr>
          <w:rFonts w:cs="Arial"/>
          <w:b/>
        </w:rPr>
      </w:pPr>
    </w:p>
    <w:p w14:paraId="3E679FC3" w14:textId="77777777" w:rsidR="001A24F9" w:rsidRDefault="001A24F9" w:rsidP="009B1FD6">
      <w:pPr>
        <w:rPr>
          <w:rFonts w:cs="Arial"/>
          <w:b/>
          <w:caps/>
        </w:rPr>
      </w:pPr>
      <w:r w:rsidRPr="00491976">
        <w:rPr>
          <w:rFonts w:cs="Arial"/>
          <w:b/>
          <w:caps/>
        </w:rPr>
        <w:t>ICT/technology implications</w:t>
      </w:r>
    </w:p>
    <w:p w14:paraId="3E679FC4" w14:textId="77777777" w:rsidR="00911FD5" w:rsidRDefault="00911FD5" w:rsidP="00911FD5">
      <w:pPr>
        <w:ind w:left="567"/>
        <w:rPr>
          <w:rFonts w:cs="Arial"/>
          <w:b/>
          <w:caps/>
        </w:rPr>
      </w:pPr>
    </w:p>
    <w:p w14:paraId="3E679FC5" w14:textId="77777777" w:rsidR="001A24F9" w:rsidRPr="00FB6EAA" w:rsidRDefault="00FB6EAA" w:rsidP="009B1FD6">
      <w:pPr>
        <w:rPr>
          <w:rFonts w:cs="Arial"/>
          <w:caps/>
        </w:rPr>
      </w:pPr>
      <w:r w:rsidRPr="00FB6EAA">
        <w:rPr>
          <w:rFonts w:cs="Arial"/>
        </w:rPr>
        <w:t>There are none.</w:t>
      </w:r>
    </w:p>
    <w:p w14:paraId="3E679FC6" w14:textId="77777777" w:rsidR="001A24F9" w:rsidRPr="00FB6EAA" w:rsidRDefault="001A24F9" w:rsidP="001A24F9">
      <w:pPr>
        <w:rPr>
          <w:rFonts w:cs="Arial"/>
          <w:b/>
        </w:rPr>
      </w:pPr>
    </w:p>
    <w:p w14:paraId="3E679FC7" w14:textId="77777777" w:rsidR="001A24F9" w:rsidRPr="00FB6EAA" w:rsidRDefault="001A24F9" w:rsidP="009B1FD6">
      <w:pPr>
        <w:rPr>
          <w:rFonts w:cs="Arial"/>
          <w:b/>
          <w:caps/>
        </w:rPr>
      </w:pPr>
      <w:r w:rsidRPr="00FB6EAA">
        <w:rPr>
          <w:rFonts w:cs="Arial"/>
          <w:b/>
          <w:caps/>
        </w:rPr>
        <w:t>Property and Asset Management implications</w:t>
      </w:r>
    </w:p>
    <w:p w14:paraId="3E679FC8" w14:textId="77777777" w:rsidR="00911FD5" w:rsidRPr="00FB6EAA" w:rsidRDefault="00911FD5" w:rsidP="00911FD5">
      <w:pPr>
        <w:ind w:left="567"/>
        <w:rPr>
          <w:rFonts w:cs="Arial"/>
          <w:b/>
          <w:caps/>
        </w:rPr>
      </w:pPr>
    </w:p>
    <w:p w14:paraId="3E679FC9" w14:textId="77777777" w:rsidR="001A24F9" w:rsidRPr="00FB6EAA" w:rsidRDefault="00FB6EAA" w:rsidP="009B1FD6">
      <w:pPr>
        <w:rPr>
          <w:rFonts w:cs="Arial"/>
          <w:b/>
          <w:caps/>
        </w:rPr>
      </w:pPr>
      <w:r w:rsidRPr="00FB6EAA">
        <w:rPr>
          <w:rFonts w:cs="Arial"/>
        </w:rPr>
        <w:t>There are none.</w:t>
      </w:r>
    </w:p>
    <w:p w14:paraId="3E679FCA" w14:textId="77777777" w:rsidR="001A24F9" w:rsidRDefault="001A24F9" w:rsidP="001A24F9">
      <w:pPr>
        <w:ind w:left="284"/>
        <w:rPr>
          <w:rFonts w:cs="Arial"/>
          <w:b/>
        </w:rPr>
      </w:pPr>
    </w:p>
    <w:p w14:paraId="3E679FCB" w14:textId="77777777" w:rsidR="001A24F9" w:rsidRDefault="001A24F9" w:rsidP="009B1FD6">
      <w:pPr>
        <w:rPr>
          <w:rFonts w:cs="Arial"/>
          <w:b/>
        </w:rPr>
      </w:pPr>
      <w:r w:rsidRPr="005404A1">
        <w:rPr>
          <w:rFonts w:cs="Arial"/>
          <w:b/>
        </w:rPr>
        <w:t xml:space="preserve">EQUALITY </w:t>
      </w:r>
      <w:r>
        <w:rPr>
          <w:rFonts w:cs="Arial"/>
          <w:b/>
        </w:rPr>
        <w:t xml:space="preserve">AND DIVERSITY </w:t>
      </w:r>
      <w:r w:rsidRPr="005404A1">
        <w:rPr>
          <w:rFonts w:cs="Arial"/>
          <w:b/>
        </w:rPr>
        <w:t>IMPACT</w:t>
      </w:r>
    </w:p>
    <w:p w14:paraId="3E679FCC" w14:textId="77777777" w:rsidR="00911FD5" w:rsidRDefault="00911FD5" w:rsidP="00911FD5">
      <w:pPr>
        <w:ind w:left="567"/>
        <w:rPr>
          <w:rFonts w:cs="Arial"/>
          <w:b/>
        </w:rPr>
      </w:pPr>
    </w:p>
    <w:p w14:paraId="3E679FCD" w14:textId="77777777" w:rsidR="001A24F9" w:rsidRPr="00FB6EAA" w:rsidRDefault="00FB6EAA" w:rsidP="009B1FD6">
      <w:pPr>
        <w:rPr>
          <w:rFonts w:cs="Arial"/>
          <w:b/>
        </w:rPr>
      </w:pPr>
      <w:r w:rsidRPr="00FB6EAA">
        <w:rPr>
          <w:rFonts w:cs="Arial"/>
        </w:rPr>
        <w:t>There are no implications.</w:t>
      </w:r>
    </w:p>
    <w:p w14:paraId="3E679FCE" w14:textId="77777777" w:rsidR="008770BE" w:rsidRPr="00BE0127" w:rsidRDefault="008770BE" w:rsidP="008770BE">
      <w:pPr>
        <w:ind w:left="567"/>
        <w:rPr>
          <w:rFonts w:cs="Arial"/>
          <w:b/>
        </w:rPr>
      </w:pPr>
    </w:p>
    <w:p w14:paraId="3E679FCF" w14:textId="77777777" w:rsidR="000427E0" w:rsidRDefault="001A24F9" w:rsidP="009B1FD6">
      <w:pPr>
        <w:rPr>
          <w:rFonts w:cs="Arial"/>
          <w:b/>
        </w:rPr>
      </w:pPr>
      <w:r w:rsidRPr="000A68B2">
        <w:rPr>
          <w:rFonts w:cs="Arial"/>
          <w:b/>
        </w:rPr>
        <w:t>C</w:t>
      </w:r>
      <w:r>
        <w:rPr>
          <w:rFonts w:cs="Arial"/>
          <w:b/>
        </w:rPr>
        <w:t>OMMENTS OF THE STATUTORY FINANCE OFFICE</w:t>
      </w:r>
      <w:r w:rsidR="000427E0">
        <w:rPr>
          <w:rFonts w:cs="Arial"/>
          <w:b/>
        </w:rPr>
        <w:t>R</w:t>
      </w:r>
    </w:p>
    <w:p w14:paraId="3E679FD0" w14:textId="77777777" w:rsidR="00911FD5" w:rsidRPr="000427E0" w:rsidRDefault="00911FD5" w:rsidP="00911FD5">
      <w:pPr>
        <w:ind w:left="567"/>
        <w:rPr>
          <w:rFonts w:cs="Arial"/>
          <w:b/>
        </w:rPr>
      </w:pPr>
    </w:p>
    <w:p w14:paraId="3E679FD1" w14:textId="7DAF502C" w:rsidR="001A24F9" w:rsidRPr="009B1FD6" w:rsidRDefault="001A24F9" w:rsidP="009B1FD6">
      <w:pPr>
        <w:pStyle w:val="ListParagraph"/>
        <w:numPr>
          <w:ilvl w:val="0"/>
          <w:numId w:val="14"/>
        </w:numPr>
        <w:rPr>
          <w:rFonts w:ascii="Arial" w:hAnsi="Arial" w:cs="Arial"/>
        </w:rPr>
      </w:pPr>
      <w:r w:rsidRPr="009B1FD6">
        <w:rPr>
          <w:rFonts w:ascii="Arial" w:hAnsi="Arial" w:cs="Arial"/>
        </w:rPr>
        <w:t xml:space="preserve">This </w:t>
      </w:r>
      <w:r w:rsidR="00B4203C" w:rsidRPr="009B1FD6">
        <w:rPr>
          <w:rFonts w:ascii="Arial" w:hAnsi="Arial" w:cs="Arial"/>
        </w:rPr>
        <w:t>agreement formalises the processes previously agreed in princip</w:t>
      </w:r>
      <w:r w:rsidR="003A5F5F" w:rsidRPr="009B1FD6">
        <w:rPr>
          <w:rFonts w:ascii="Arial" w:hAnsi="Arial" w:cs="Arial"/>
        </w:rPr>
        <w:t>le</w:t>
      </w:r>
      <w:r w:rsidR="00B4203C" w:rsidRPr="009B1FD6">
        <w:rPr>
          <w:rFonts w:ascii="Arial" w:hAnsi="Arial" w:cs="Arial"/>
        </w:rPr>
        <w:t xml:space="preserve"> between the LEP and the districts with regard to the payment over of business rates income collected from new developments in the Enterprise Zone. As stated in the report, there are no financial implications as the budget and MTFS forecasts were based on the assumption that any net business rate income from the EZ would be paid over to the LEP.  </w:t>
      </w:r>
    </w:p>
    <w:p w14:paraId="3E679FD2" w14:textId="77777777" w:rsidR="001A24F9" w:rsidRPr="004206AE" w:rsidRDefault="001A24F9" w:rsidP="001A24F9">
      <w:pPr>
        <w:rPr>
          <w:rFonts w:cs="Arial"/>
          <w:b/>
          <w:i/>
        </w:rPr>
      </w:pPr>
    </w:p>
    <w:p w14:paraId="3E679FD3" w14:textId="77777777" w:rsidR="001A24F9" w:rsidRDefault="001A24F9" w:rsidP="009B1FD6">
      <w:pPr>
        <w:rPr>
          <w:rFonts w:cs="Arial"/>
          <w:b/>
        </w:rPr>
      </w:pPr>
      <w:r w:rsidRPr="000A68B2">
        <w:rPr>
          <w:rFonts w:cs="Arial"/>
          <w:b/>
        </w:rPr>
        <w:t>C</w:t>
      </w:r>
      <w:r>
        <w:rPr>
          <w:rFonts w:cs="Arial"/>
          <w:b/>
        </w:rPr>
        <w:t>OMMENTS OF THE MONITORING OFFICER</w:t>
      </w:r>
    </w:p>
    <w:p w14:paraId="3E679FD4" w14:textId="77777777" w:rsidR="00911FD5" w:rsidRDefault="00911FD5" w:rsidP="00911FD5">
      <w:pPr>
        <w:ind w:left="567"/>
        <w:rPr>
          <w:rFonts w:cs="Arial"/>
          <w:b/>
        </w:rPr>
      </w:pPr>
    </w:p>
    <w:p w14:paraId="3E679FD5" w14:textId="29FA497F" w:rsidR="000427E0" w:rsidRPr="009B1FD6" w:rsidRDefault="003A5F5F" w:rsidP="009B1FD6">
      <w:pPr>
        <w:pStyle w:val="ListParagraph"/>
        <w:numPr>
          <w:ilvl w:val="0"/>
          <w:numId w:val="14"/>
        </w:numPr>
        <w:rPr>
          <w:rFonts w:ascii="Arial" w:hAnsi="Arial" w:cs="Arial"/>
          <w:b/>
        </w:rPr>
      </w:pPr>
      <w:r w:rsidRPr="009B1FD6">
        <w:rPr>
          <w:rFonts w:ascii="Arial" w:hAnsi="Arial" w:cs="Arial"/>
        </w:rPr>
        <w:t>Please see Legal implications above. This issue has been around for some time. We need to resolve it formally – hence the reason for the report.</w:t>
      </w:r>
    </w:p>
    <w:p w14:paraId="3E679FD6" w14:textId="77777777" w:rsidR="000427E0" w:rsidRPr="004E50B5" w:rsidRDefault="000427E0" w:rsidP="000427E0">
      <w:pPr>
        <w:ind w:left="567"/>
        <w:rPr>
          <w:rFonts w:cs="Arial"/>
          <w:b/>
        </w:rPr>
      </w:pPr>
    </w:p>
    <w:p w14:paraId="3E679FD7" w14:textId="77777777" w:rsidR="001A24F9" w:rsidRPr="004E50B5" w:rsidRDefault="004C2F94" w:rsidP="009B1FD6">
      <w:pPr>
        <w:rPr>
          <w:rFonts w:cs="Arial"/>
          <w:b/>
        </w:rPr>
      </w:pPr>
      <w:r w:rsidRPr="004E50B5">
        <w:rPr>
          <w:rFonts w:cs="Arial"/>
          <w:b/>
        </w:rPr>
        <w:t xml:space="preserve">BACKGROUND DOCUMENTS </w:t>
      </w:r>
      <w:r w:rsidR="004E50B5">
        <w:rPr>
          <w:rFonts w:cs="Arial"/>
          <w:b/>
        </w:rPr>
        <w:t>/ APPENDICES</w:t>
      </w:r>
    </w:p>
    <w:p w14:paraId="3E679FD8" w14:textId="77777777" w:rsidR="00911FD5" w:rsidRPr="004E50B5" w:rsidRDefault="00911FD5" w:rsidP="00911FD5">
      <w:pPr>
        <w:ind w:left="567"/>
        <w:rPr>
          <w:rFonts w:cs="Arial"/>
          <w:b/>
        </w:rPr>
      </w:pPr>
    </w:p>
    <w:p w14:paraId="3E679FD9" w14:textId="77777777" w:rsidR="004E50B5" w:rsidRPr="004E50B5" w:rsidRDefault="004E50B5" w:rsidP="009B1FD6">
      <w:pPr>
        <w:rPr>
          <w:rFonts w:cs="Arial"/>
          <w:b/>
        </w:rPr>
      </w:pPr>
      <w:r w:rsidRPr="004E50B5">
        <w:t>There are no background documents</w:t>
      </w:r>
      <w:r>
        <w:t>/appendices to this report</w:t>
      </w:r>
      <w:r w:rsidRPr="004E50B5">
        <w:t>.</w:t>
      </w:r>
    </w:p>
    <w:p w14:paraId="3E679FDA" w14:textId="77777777" w:rsidR="004C2F94" w:rsidRPr="00970C70" w:rsidRDefault="004E50B5" w:rsidP="004E50B5">
      <w:pPr>
        <w:rPr>
          <w:rFonts w:cs="Arial"/>
          <w:b/>
          <w:color w:val="2E74B5" w:themeColor="accent1" w:themeShade="BF"/>
        </w:rPr>
      </w:pPr>
      <w:r w:rsidRPr="00970C70">
        <w:rPr>
          <w:rFonts w:cs="Arial"/>
          <w:b/>
          <w:color w:val="2E74B5" w:themeColor="accent1" w:themeShade="BF"/>
        </w:rPr>
        <w:t xml:space="preserve"> </w:t>
      </w:r>
    </w:p>
    <w:p w14:paraId="3E679FDB" w14:textId="77777777" w:rsidR="0037228A" w:rsidRDefault="0037228A" w:rsidP="0037228A">
      <w:pPr>
        <w:tabs>
          <w:tab w:val="left" w:pos="2839"/>
        </w:tabs>
        <w:ind w:left="1146"/>
        <w:rPr>
          <w:b/>
        </w:rPr>
      </w:pPr>
    </w:p>
    <w:p w14:paraId="3E679FDC" w14:textId="77777777" w:rsidR="0037228A" w:rsidRDefault="0037228A" w:rsidP="0037228A">
      <w:pPr>
        <w:tabs>
          <w:tab w:val="left" w:pos="2839"/>
        </w:tabs>
        <w:ind w:left="1146"/>
        <w:rPr>
          <w:b/>
        </w:rPr>
      </w:pPr>
    </w:p>
    <w:p w14:paraId="3E679FDD" w14:textId="77777777" w:rsidR="0037228A" w:rsidRPr="006704C2" w:rsidRDefault="006704C2" w:rsidP="0037228A">
      <w:pPr>
        <w:tabs>
          <w:tab w:val="left" w:pos="2839"/>
        </w:tabs>
        <w:ind w:left="426" w:hanging="426"/>
        <w:rPr>
          <w:rFonts w:cs="Arial"/>
        </w:rPr>
      </w:pPr>
      <w:r w:rsidRPr="006704C2">
        <w:rPr>
          <w:rFonts w:cs="Arial"/>
        </w:rPr>
        <w:t>Jane Blundell</w:t>
      </w:r>
    </w:p>
    <w:p w14:paraId="3E679FDE" w14:textId="77777777" w:rsidR="0037228A" w:rsidRPr="006704C2" w:rsidRDefault="006704C2" w:rsidP="0037228A">
      <w:pPr>
        <w:tabs>
          <w:tab w:val="left" w:pos="2839"/>
        </w:tabs>
        <w:rPr>
          <w:rFonts w:cs="Arial"/>
        </w:rPr>
      </w:pPr>
      <w:r w:rsidRPr="006704C2">
        <w:rPr>
          <w:rFonts w:cs="Arial"/>
        </w:rPr>
        <w:t xml:space="preserve">Principal Management Accountant / Deputy </w:t>
      </w:r>
      <w:r w:rsidR="00FB6EAA" w:rsidRPr="006704C2">
        <w:rPr>
          <w:rFonts w:cs="Arial"/>
        </w:rPr>
        <w:t>S151</w:t>
      </w:r>
      <w:r w:rsidRPr="006704C2">
        <w:rPr>
          <w:rFonts w:cs="Arial"/>
        </w:rPr>
        <w:t xml:space="preserve"> Officer</w:t>
      </w:r>
      <w:r w:rsidR="00A162DE" w:rsidRPr="006704C2">
        <w:rPr>
          <w:rFonts w:cs="Arial"/>
        </w:rPr>
        <w:t xml:space="preserve"> </w:t>
      </w:r>
    </w:p>
    <w:p w14:paraId="3E679FDF"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37228A" w14:paraId="3E679FE3" w14:textId="77777777" w:rsidTr="0031059E">
        <w:tc>
          <w:tcPr>
            <w:tcW w:w="5700" w:type="dxa"/>
            <w:shd w:val="clear" w:color="auto" w:fill="auto"/>
          </w:tcPr>
          <w:p w14:paraId="3E679FE0"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3E679FE1"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3E679FE2" w14:textId="77777777" w:rsidR="0037228A" w:rsidRPr="0031059E" w:rsidRDefault="0037228A" w:rsidP="0031059E">
            <w:pPr>
              <w:rPr>
                <w:rFonts w:cs="Arial"/>
              </w:rPr>
            </w:pPr>
            <w:r w:rsidRPr="0031059E">
              <w:rPr>
                <w:rFonts w:cs="Arial"/>
              </w:rPr>
              <w:t>Date:</w:t>
            </w:r>
          </w:p>
        </w:tc>
      </w:tr>
      <w:tr w:rsidR="0037228A" w14:paraId="3E679FE8" w14:textId="77777777" w:rsidTr="0031059E">
        <w:tc>
          <w:tcPr>
            <w:tcW w:w="5700" w:type="dxa"/>
            <w:shd w:val="clear" w:color="auto" w:fill="auto"/>
          </w:tcPr>
          <w:p w14:paraId="3E679FE4" w14:textId="77777777" w:rsidR="0037228A" w:rsidRPr="006704C2" w:rsidRDefault="006704C2" w:rsidP="0031059E">
            <w:pPr>
              <w:rPr>
                <w:rFonts w:cs="Arial"/>
                <w:color w:val="2E74B5" w:themeColor="accent1" w:themeShade="BF"/>
              </w:rPr>
            </w:pPr>
            <w:r w:rsidRPr="006704C2">
              <w:rPr>
                <w:rFonts w:cs="Arial"/>
              </w:rPr>
              <w:lastRenderedPageBreak/>
              <w:t>Jane Blundell</w:t>
            </w:r>
          </w:p>
          <w:p w14:paraId="3E679FE5" w14:textId="77777777" w:rsidR="0037228A" w:rsidRPr="0031059E" w:rsidRDefault="0037228A" w:rsidP="0031059E">
            <w:pPr>
              <w:ind w:left="-539" w:firstLine="539"/>
              <w:rPr>
                <w:rFonts w:cs="Arial"/>
              </w:rPr>
            </w:pPr>
          </w:p>
        </w:tc>
        <w:tc>
          <w:tcPr>
            <w:tcW w:w="1559" w:type="dxa"/>
            <w:shd w:val="clear" w:color="auto" w:fill="auto"/>
          </w:tcPr>
          <w:p w14:paraId="3E679FE6" w14:textId="77777777" w:rsidR="0037228A" w:rsidRPr="0031059E" w:rsidRDefault="00621D7D" w:rsidP="006704C2">
            <w:pPr>
              <w:rPr>
                <w:rFonts w:cs="Arial"/>
              </w:rPr>
            </w:pPr>
            <w:r>
              <w:rPr>
                <w:rFonts w:cs="Arial"/>
              </w:rPr>
              <w:t>01772 62</w:t>
            </w:r>
            <w:r w:rsidR="006704C2">
              <w:rPr>
                <w:rFonts w:cs="Arial"/>
              </w:rPr>
              <w:t>5245</w:t>
            </w:r>
          </w:p>
        </w:tc>
        <w:tc>
          <w:tcPr>
            <w:tcW w:w="2380" w:type="dxa"/>
            <w:shd w:val="clear" w:color="auto" w:fill="auto"/>
          </w:tcPr>
          <w:p w14:paraId="3E679FE7" w14:textId="77777777" w:rsidR="0037228A" w:rsidRPr="0031059E" w:rsidRDefault="006704C2" w:rsidP="0031059E">
            <w:pPr>
              <w:rPr>
                <w:rFonts w:cs="Arial"/>
              </w:rPr>
            </w:pPr>
            <w:r>
              <w:rPr>
                <w:rFonts w:cs="Arial"/>
              </w:rPr>
              <w:t>18/06/19</w:t>
            </w:r>
          </w:p>
        </w:tc>
      </w:tr>
    </w:tbl>
    <w:p w14:paraId="3E679FE9" w14:textId="77777777" w:rsidR="002F5C5E" w:rsidRDefault="002F5C5E" w:rsidP="004C2F94">
      <w:pPr>
        <w:rPr>
          <w:rFonts w:cs="Arial"/>
        </w:rPr>
      </w:pPr>
    </w:p>
    <w:p w14:paraId="3E679FEA" w14:textId="77777777" w:rsidR="003A5F5F" w:rsidRDefault="003A5F5F" w:rsidP="004C2F94">
      <w:pPr>
        <w:rPr>
          <w:rFonts w:cs="Arial"/>
        </w:rPr>
      </w:pPr>
    </w:p>
    <w:p w14:paraId="3E679FEB" w14:textId="77777777" w:rsidR="003A5F5F" w:rsidRDefault="003A5F5F" w:rsidP="004C2F94">
      <w:pPr>
        <w:rPr>
          <w:rFonts w:cs="Arial"/>
        </w:rPr>
      </w:pPr>
    </w:p>
    <w:p w14:paraId="3E679FEC" w14:textId="77777777" w:rsidR="003A5F5F" w:rsidRPr="009725FB" w:rsidRDefault="003A5F5F">
      <w:pPr>
        <w:rPr>
          <w:rFonts w:cs="Arial"/>
        </w:rPr>
      </w:pPr>
    </w:p>
    <w:sectPr w:rsidR="003A5F5F"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79FF1" w14:textId="77777777" w:rsidR="00EC364B" w:rsidRDefault="00EC364B">
      <w:r>
        <w:separator/>
      </w:r>
    </w:p>
  </w:endnote>
  <w:endnote w:type="continuationSeparator" w:id="0">
    <w:p w14:paraId="3E679FF2" w14:textId="77777777" w:rsidR="00EC364B" w:rsidRDefault="00E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79FEF" w14:textId="77777777" w:rsidR="00EC364B" w:rsidRDefault="00EC364B">
      <w:r>
        <w:separator/>
      </w:r>
    </w:p>
  </w:footnote>
  <w:footnote w:type="continuationSeparator" w:id="0">
    <w:p w14:paraId="3E679FF0" w14:textId="77777777" w:rsidR="00EC364B" w:rsidRDefault="00EC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22C3E"/>
    <w:multiLevelType w:val="hybridMultilevel"/>
    <w:tmpl w:val="1578F95C"/>
    <w:lvl w:ilvl="0" w:tplc="F7C4A382">
      <w:start w:val="1"/>
      <w:numFmt w:val="decimal"/>
      <w:lvlText w:val="%1."/>
      <w:lvlJc w:val="left"/>
      <w:pPr>
        <w:ind w:left="72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E7FAE9D2"/>
    <w:lvl w:ilvl="0">
      <w:start w:val="1"/>
      <w:numFmt w:val="decimal"/>
      <w:lvlText w:val="%1."/>
      <w:lvlJc w:val="left"/>
      <w:pPr>
        <w:ind w:left="4188"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0512FB"/>
    <w:multiLevelType w:val="hybridMultilevel"/>
    <w:tmpl w:val="4EEC0356"/>
    <w:lvl w:ilvl="0" w:tplc="25162784">
      <w:start w:val="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A7FF5"/>
    <w:multiLevelType w:val="hybridMultilevel"/>
    <w:tmpl w:val="D5C8EC7E"/>
    <w:lvl w:ilvl="0" w:tplc="BE428432">
      <w:start w:val="7"/>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9"/>
  </w:num>
  <w:num w:numId="5">
    <w:abstractNumId w:val="11"/>
  </w:num>
  <w:num w:numId="6">
    <w:abstractNumId w:val="8"/>
  </w:num>
  <w:num w:numId="7">
    <w:abstractNumId w:val="3"/>
  </w:num>
  <w:num w:numId="8">
    <w:abstractNumId w:val="4"/>
  </w:num>
  <w:num w:numId="9">
    <w:abstractNumId w:val="0"/>
  </w:num>
  <w:num w:numId="10">
    <w:abstractNumId w:val="2"/>
  </w:num>
  <w:num w:numId="11">
    <w:abstractNumId w:val="5"/>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2EEA"/>
    <w:rsid w:val="00016DD3"/>
    <w:rsid w:val="00020407"/>
    <w:rsid w:val="00022B08"/>
    <w:rsid w:val="000427E0"/>
    <w:rsid w:val="00044775"/>
    <w:rsid w:val="00044F11"/>
    <w:rsid w:val="0006370A"/>
    <w:rsid w:val="00077488"/>
    <w:rsid w:val="000828CC"/>
    <w:rsid w:val="0009466B"/>
    <w:rsid w:val="000D40AB"/>
    <w:rsid w:val="000E10FE"/>
    <w:rsid w:val="000E5A3B"/>
    <w:rsid w:val="000F2C8A"/>
    <w:rsid w:val="0010115F"/>
    <w:rsid w:val="00116662"/>
    <w:rsid w:val="00133D37"/>
    <w:rsid w:val="001544DD"/>
    <w:rsid w:val="00167AEF"/>
    <w:rsid w:val="00176159"/>
    <w:rsid w:val="001806C9"/>
    <w:rsid w:val="00184E1D"/>
    <w:rsid w:val="0019545D"/>
    <w:rsid w:val="001A24F9"/>
    <w:rsid w:val="001A5201"/>
    <w:rsid w:val="001B42F2"/>
    <w:rsid w:val="00207251"/>
    <w:rsid w:val="002221BD"/>
    <w:rsid w:val="0025591B"/>
    <w:rsid w:val="002820A5"/>
    <w:rsid w:val="00293F56"/>
    <w:rsid w:val="00294520"/>
    <w:rsid w:val="002D4745"/>
    <w:rsid w:val="002E4FF4"/>
    <w:rsid w:val="002F5C5E"/>
    <w:rsid w:val="0031059E"/>
    <w:rsid w:val="00331D5F"/>
    <w:rsid w:val="00345C71"/>
    <w:rsid w:val="00357F6B"/>
    <w:rsid w:val="0037228A"/>
    <w:rsid w:val="00386AAD"/>
    <w:rsid w:val="00394843"/>
    <w:rsid w:val="003A1B3F"/>
    <w:rsid w:val="003A23D3"/>
    <w:rsid w:val="003A2919"/>
    <w:rsid w:val="003A4FCE"/>
    <w:rsid w:val="003A5F5F"/>
    <w:rsid w:val="003B1E6D"/>
    <w:rsid w:val="003C2CC9"/>
    <w:rsid w:val="003C36EB"/>
    <w:rsid w:val="003C3CF2"/>
    <w:rsid w:val="003D3DEB"/>
    <w:rsid w:val="003E33E6"/>
    <w:rsid w:val="003F5603"/>
    <w:rsid w:val="00405D4A"/>
    <w:rsid w:val="00407A09"/>
    <w:rsid w:val="004155DC"/>
    <w:rsid w:val="004218EA"/>
    <w:rsid w:val="00442C46"/>
    <w:rsid w:val="0045553F"/>
    <w:rsid w:val="00467204"/>
    <w:rsid w:val="004727CD"/>
    <w:rsid w:val="00474DA8"/>
    <w:rsid w:val="00491976"/>
    <w:rsid w:val="004A45D4"/>
    <w:rsid w:val="004C2F94"/>
    <w:rsid w:val="004D7260"/>
    <w:rsid w:val="004E50B5"/>
    <w:rsid w:val="004F23B3"/>
    <w:rsid w:val="0050340F"/>
    <w:rsid w:val="005041BB"/>
    <w:rsid w:val="00517D50"/>
    <w:rsid w:val="00533525"/>
    <w:rsid w:val="00537F51"/>
    <w:rsid w:val="00547120"/>
    <w:rsid w:val="00547481"/>
    <w:rsid w:val="00552DBD"/>
    <w:rsid w:val="00576A82"/>
    <w:rsid w:val="00577A94"/>
    <w:rsid w:val="00594D09"/>
    <w:rsid w:val="005A26AD"/>
    <w:rsid w:val="005B0C36"/>
    <w:rsid w:val="005D4F59"/>
    <w:rsid w:val="005E6533"/>
    <w:rsid w:val="0060374B"/>
    <w:rsid w:val="00621D7D"/>
    <w:rsid w:val="00630F86"/>
    <w:rsid w:val="00633396"/>
    <w:rsid w:val="00645A0B"/>
    <w:rsid w:val="0065176C"/>
    <w:rsid w:val="006555E6"/>
    <w:rsid w:val="006704C2"/>
    <w:rsid w:val="006879CA"/>
    <w:rsid w:val="00693EE6"/>
    <w:rsid w:val="006B223E"/>
    <w:rsid w:val="006B645E"/>
    <w:rsid w:val="006B66A7"/>
    <w:rsid w:val="006B7116"/>
    <w:rsid w:val="006C04C1"/>
    <w:rsid w:val="006C209A"/>
    <w:rsid w:val="006D26B1"/>
    <w:rsid w:val="006E09FB"/>
    <w:rsid w:val="006E0ECA"/>
    <w:rsid w:val="006E43C3"/>
    <w:rsid w:val="006E45A7"/>
    <w:rsid w:val="006F48FD"/>
    <w:rsid w:val="00703DE3"/>
    <w:rsid w:val="00707E99"/>
    <w:rsid w:val="00712E3F"/>
    <w:rsid w:val="007251C6"/>
    <w:rsid w:val="007A0801"/>
    <w:rsid w:val="00814F6D"/>
    <w:rsid w:val="008221F3"/>
    <w:rsid w:val="00857921"/>
    <w:rsid w:val="008770BE"/>
    <w:rsid w:val="00893AD2"/>
    <w:rsid w:val="008A2F6B"/>
    <w:rsid w:val="008A42E3"/>
    <w:rsid w:val="008A77AB"/>
    <w:rsid w:val="008B41C5"/>
    <w:rsid w:val="008C04DA"/>
    <w:rsid w:val="008C1DBF"/>
    <w:rsid w:val="008C3B1A"/>
    <w:rsid w:val="008D403E"/>
    <w:rsid w:val="008D623F"/>
    <w:rsid w:val="008F4B91"/>
    <w:rsid w:val="0090542C"/>
    <w:rsid w:val="009063C4"/>
    <w:rsid w:val="00911FD5"/>
    <w:rsid w:val="00924CB7"/>
    <w:rsid w:val="009350CB"/>
    <w:rsid w:val="009538AE"/>
    <w:rsid w:val="00970C70"/>
    <w:rsid w:val="00980267"/>
    <w:rsid w:val="00983CD5"/>
    <w:rsid w:val="009846F1"/>
    <w:rsid w:val="00992E79"/>
    <w:rsid w:val="009A714A"/>
    <w:rsid w:val="009B1FD6"/>
    <w:rsid w:val="009C1143"/>
    <w:rsid w:val="009C24FA"/>
    <w:rsid w:val="009E233A"/>
    <w:rsid w:val="009E48E0"/>
    <w:rsid w:val="009F6ADC"/>
    <w:rsid w:val="00A1406A"/>
    <w:rsid w:val="00A162DE"/>
    <w:rsid w:val="00A2078A"/>
    <w:rsid w:val="00A22D02"/>
    <w:rsid w:val="00A30426"/>
    <w:rsid w:val="00A445C9"/>
    <w:rsid w:val="00A4702E"/>
    <w:rsid w:val="00A50754"/>
    <w:rsid w:val="00A62C20"/>
    <w:rsid w:val="00A67215"/>
    <w:rsid w:val="00A724DD"/>
    <w:rsid w:val="00A7541A"/>
    <w:rsid w:val="00A76482"/>
    <w:rsid w:val="00A975A7"/>
    <w:rsid w:val="00AB3D95"/>
    <w:rsid w:val="00AC4A99"/>
    <w:rsid w:val="00AF0A33"/>
    <w:rsid w:val="00B05FE8"/>
    <w:rsid w:val="00B1788B"/>
    <w:rsid w:val="00B222F2"/>
    <w:rsid w:val="00B408CA"/>
    <w:rsid w:val="00B4203C"/>
    <w:rsid w:val="00B443DD"/>
    <w:rsid w:val="00B51DB8"/>
    <w:rsid w:val="00B62D79"/>
    <w:rsid w:val="00B67225"/>
    <w:rsid w:val="00B70B91"/>
    <w:rsid w:val="00B716F5"/>
    <w:rsid w:val="00B72A06"/>
    <w:rsid w:val="00B766C4"/>
    <w:rsid w:val="00BA2606"/>
    <w:rsid w:val="00BC6635"/>
    <w:rsid w:val="00BD2AFE"/>
    <w:rsid w:val="00BE0127"/>
    <w:rsid w:val="00BE0166"/>
    <w:rsid w:val="00BE6EFC"/>
    <w:rsid w:val="00C022F9"/>
    <w:rsid w:val="00C12DBB"/>
    <w:rsid w:val="00C209E3"/>
    <w:rsid w:val="00C30128"/>
    <w:rsid w:val="00C52450"/>
    <w:rsid w:val="00C64ED1"/>
    <w:rsid w:val="00C65FF9"/>
    <w:rsid w:val="00C66BAA"/>
    <w:rsid w:val="00C80A48"/>
    <w:rsid w:val="00CB32DF"/>
    <w:rsid w:val="00CC3246"/>
    <w:rsid w:val="00CC4337"/>
    <w:rsid w:val="00CE3DA1"/>
    <w:rsid w:val="00CE4482"/>
    <w:rsid w:val="00CF6B60"/>
    <w:rsid w:val="00D2289C"/>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3555D"/>
    <w:rsid w:val="00E41950"/>
    <w:rsid w:val="00E50A9C"/>
    <w:rsid w:val="00E51F90"/>
    <w:rsid w:val="00E52B88"/>
    <w:rsid w:val="00E569CB"/>
    <w:rsid w:val="00E577A2"/>
    <w:rsid w:val="00E60A53"/>
    <w:rsid w:val="00E66713"/>
    <w:rsid w:val="00E733A5"/>
    <w:rsid w:val="00E753EC"/>
    <w:rsid w:val="00E84459"/>
    <w:rsid w:val="00E971A2"/>
    <w:rsid w:val="00EB7B0D"/>
    <w:rsid w:val="00EB7C94"/>
    <w:rsid w:val="00EC364B"/>
    <w:rsid w:val="00ED257A"/>
    <w:rsid w:val="00ED57B4"/>
    <w:rsid w:val="00EE1A41"/>
    <w:rsid w:val="00EF3B6C"/>
    <w:rsid w:val="00F04C38"/>
    <w:rsid w:val="00F3057A"/>
    <w:rsid w:val="00F30E9C"/>
    <w:rsid w:val="00F55E4D"/>
    <w:rsid w:val="00F61752"/>
    <w:rsid w:val="00FB6EAA"/>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679F55"/>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3A5F5F"/>
    <w:rPr>
      <w:sz w:val="16"/>
      <w:szCs w:val="16"/>
    </w:rPr>
  </w:style>
  <w:style w:type="paragraph" w:styleId="CommentText">
    <w:name w:val="annotation text"/>
    <w:basedOn w:val="Normal"/>
    <w:link w:val="CommentTextChar"/>
    <w:uiPriority w:val="99"/>
    <w:semiHidden/>
    <w:unhideWhenUsed/>
    <w:rsid w:val="003A5F5F"/>
    <w:rPr>
      <w:sz w:val="20"/>
    </w:rPr>
  </w:style>
  <w:style w:type="character" w:customStyle="1" w:styleId="CommentTextChar">
    <w:name w:val="Comment Text Char"/>
    <w:basedOn w:val="DefaultParagraphFont"/>
    <w:link w:val="CommentText"/>
    <w:uiPriority w:val="99"/>
    <w:semiHidden/>
    <w:rsid w:val="003A5F5F"/>
    <w:rPr>
      <w:rFonts w:ascii="Arial" w:hAnsi="Arial"/>
    </w:rPr>
  </w:style>
  <w:style w:type="paragraph" w:styleId="CommentSubject">
    <w:name w:val="annotation subject"/>
    <w:basedOn w:val="CommentText"/>
    <w:next w:val="CommentText"/>
    <w:link w:val="CommentSubjectChar"/>
    <w:uiPriority w:val="99"/>
    <w:semiHidden/>
    <w:unhideWhenUsed/>
    <w:rsid w:val="003A5F5F"/>
    <w:rPr>
      <w:b/>
      <w:bCs/>
    </w:rPr>
  </w:style>
  <w:style w:type="character" w:customStyle="1" w:styleId="CommentSubjectChar">
    <w:name w:val="Comment Subject Char"/>
    <w:basedOn w:val="CommentTextChar"/>
    <w:link w:val="CommentSubject"/>
    <w:uiPriority w:val="99"/>
    <w:semiHidden/>
    <w:rsid w:val="003A5F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0311-238B-4CD2-A5B9-C13CDC5B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7</TotalTime>
  <Pages>4</Pages>
  <Words>1019</Words>
  <Characters>5496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3</cp:revision>
  <cp:lastPrinted>2018-03-14T11:21:00Z</cp:lastPrinted>
  <dcterms:created xsi:type="dcterms:W3CDTF">2019-06-20T13:22:00Z</dcterms:created>
  <dcterms:modified xsi:type="dcterms:W3CDTF">2019-07-02T08:59:00Z</dcterms:modified>
</cp:coreProperties>
</file>